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98B92">
      <w:pPr>
        <w:spacing w:after="120"/>
        <w:rPr>
          <w:rFonts w:ascii="Calibri" w:hAnsi="Calibri"/>
        </w:rPr>
      </w:pPr>
    </w:p>
    <w:p w14:paraId="3462505B">
      <w:pPr>
        <w:jc w:val="center"/>
        <w:rPr>
          <w:rFonts w:ascii="宋体" w:hAnsi="宋体"/>
          <w:b/>
          <w:sz w:val="72"/>
          <w:szCs w:val="72"/>
        </w:rPr>
      </w:pPr>
    </w:p>
    <w:p w14:paraId="2AA58794">
      <w:pPr>
        <w:jc w:val="center"/>
        <w:rPr>
          <w:rFonts w:ascii="宋体" w:hAnsi="宋体"/>
          <w:b/>
          <w:sz w:val="72"/>
          <w:szCs w:val="72"/>
        </w:rPr>
      </w:pPr>
      <w:r>
        <w:rPr>
          <w:rFonts w:hint="eastAsia" w:ascii="宋体" w:hAnsi="宋体" w:cs="宋体"/>
          <w:b/>
          <w:sz w:val="84"/>
          <w:szCs w:val="84"/>
        </w:rPr>
        <w:drawing>
          <wp:inline distT="0" distB="0" distL="114300" distR="114300">
            <wp:extent cx="2809875" cy="1143000"/>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2809875" cy="1143000"/>
                    </a:xfrm>
                    <a:prstGeom prst="rect">
                      <a:avLst/>
                    </a:prstGeom>
                    <a:noFill/>
                    <a:ln>
                      <a:noFill/>
                    </a:ln>
                  </pic:spPr>
                </pic:pic>
              </a:graphicData>
            </a:graphic>
          </wp:inline>
        </w:drawing>
      </w:r>
    </w:p>
    <w:p w14:paraId="61FB0ED2">
      <w:pPr>
        <w:jc w:val="center"/>
        <w:rPr>
          <w:rFonts w:ascii="宋体" w:hAnsi="宋体"/>
          <w:spacing w:val="116"/>
          <w:sz w:val="52"/>
        </w:rPr>
      </w:pPr>
      <w:r>
        <w:rPr>
          <w:rFonts w:hint="eastAsia" w:ascii="宋体" w:hAnsi="宋体"/>
          <w:b/>
          <w:sz w:val="52"/>
          <w:szCs w:val="52"/>
          <w:u w:val="single"/>
        </w:rPr>
        <w:t>广西众联工程项目管理有限公司</w:t>
      </w:r>
      <w:r>
        <w:rPr>
          <w:rFonts w:ascii="宋体" w:hAnsi="宋体"/>
          <w:spacing w:val="116"/>
          <w:sz w:val="52"/>
        </w:rPr>
        <w:cr/>
      </w:r>
    </w:p>
    <w:p w14:paraId="3E2F7806">
      <w:pPr>
        <w:jc w:val="center"/>
        <w:rPr>
          <w:rFonts w:ascii="宋体" w:hAnsi="宋体"/>
          <w:sz w:val="72"/>
          <w:szCs w:val="84"/>
        </w:rPr>
      </w:pPr>
      <w:r>
        <w:rPr>
          <w:rFonts w:hint="eastAsia" w:ascii="宋体" w:hAnsi="宋体"/>
          <w:b/>
          <w:bCs/>
          <w:spacing w:val="100"/>
          <w:sz w:val="84"/>
          <w:szCs w:val="84"/>
        </w:rPr>
        <w:t>竞争性磋商文</w:t>
      </w:r>
      <w:r>
        <w:rPr>
          <w:rFonts w:hint="eastAsia" w:ascii="宋体" w:hAnsi="宋体"/>
          <w:b/>
          <w:bCs/>
          <w:sz w:val="84"/>
          <w:szCs w:val="84"/>
        </w:rPr>
        <w:t>件</w:t>
      </w:r>
    </w:p>
    <w:p w14:paraId="469F2BE8">
      <w:pPr>
        <w:ind w:left="2691" w:leftChars="541" w:right="849" w:hanging="1555" w:hangingChars="484"/>
        <w:jc w:val="left"/>
        <w:rPr>
          <w:rFonts w:ascii="宋体" w:hAnsi="宋体"/>
          <w:b/>
          <w:sz w:val="32"/>
        </w:rPr>
      </w:pPr>
    </w:p>
    <w:p w14:paraId="6E8A74EE"/>
    <w:p w14:paraId="45EB777E">
      <w:pPr>
        <w:ind w:left="2691" w:leftChars="541" w:right="849" w:hanging="1555" w:hangingChars="484"/>
        <w:jc w:val="left"/>
        <w:rPr>
          <w:rFonts w:ascii="宋体" w:hAnsi="宋体"/>
          <w:b/>
          <w:sz w:val="32"/>
        </w:rPr>
      </w:pPr>
    </w:p>
    <w:p w14:paraId="25F87C47">
      <w:pPr>
        <w:jc w:val="center"/>
        <w:rPr>
          <w:rFonts w:ascii="宋体" w:hAnsi="宋体"/>
          <w:b/>
          <w:sz w:val="32"/>
          <w:szCs w:val="32"/>
        </w:rPr>
      </w:pPr>
      <w:r>
        <w:rPr>
          <w:rFonts w:hint="eastAsia" w:ascii="宋体" w:hAnsi="宋体"/>
          <w:b/>
          <w:sz w:val="32"/>
          <w:szCs w:val="32"/>
        </w:rPr>
        <w:t>项目名称：</w:t>
      </w:r>
      <w:bookmarkStart w:id="0" w:name="OLE_LINK2"/>
      <w:bookmarkStart w:id="1" w:name="OLE_LINK1"/>
      <w:r>
        <w:rPr>
          <w:rFonts w:hint="eastAsia" w:ascii="宋体" w:hAnsi="宋体"/>
          <w:b/>
          <w:sz w:val="32"/>
          <w:szCs w:val="32"/>
        </w:rPr>
        <w:t>网络营销与直播电商专业教学资源库一馆一中心一基地线上资源、网店推广职业技能等级认定培训资源包建设</w:t>
      </w:r>
      <w:bookmarkEnd w:id="0"/>
      <w:bookmarkEnd w:id="1"/>
    </w:p>
    <w:p w14:paraId="5547A400">
      <w:pPr>
        <w:ind w:left="2691" w:leftChars="541" w:hanging="1555" w:hangingChars="484"/>
        <w:rPr>
          <w:rFonts w:ascii="宋体" w:hAnsi="宋体"/>
          <w:b/>
          <w:sz w:val="32"/>
          <w:szCs w:val="32"/>
        </w:rPr>
      </w:pPr>
    </w:p>
    <w:p w14:paraId="22B7D289">
      <w:pPr>
        <w:ind w:firstLine="1285" w:firstLineChars="400"/>
        <w:jc w:val="left"/>
        <w:rPr>
          <w:rFonts w:ascii="宋体" w:hAnsi="宋体"/>
          <w:b/>
          <w:sz w:val="32"/>
          <w:szCs w:val="32"/>
        </w:rPr>
      </w:pPr>
      <w:r>
        <w:rPr>
          <w:rFonts w:hint="eastAsia" w:ascii="宋体" w:hAnsi="宋体"/>
          <w:b/>
          <w:sz w:val="32"/>
          <w:szCs w:val="32"/>
        </w:rPr>
        <w:t xml:space="preserve">项目编号： </w:t>
      </w:r>
      <w:bookmarkStart w:id="2" w:name="OLE_LINK3"/>
      <w:r>
        <w:rPr>
          <w:rFonts w:hint="eastAsia" w:ascii="宋体" w:hAnsi="宋体"/>
          <w:b/>
          <w:sz w:val="32"/>
          <w:szCs w:val="32"/>
        </w:rPr>
        <w:t>ZB2024-530</w:t>
      </w:r>
      <w:bookmarkEnd w:id="2"/>
      <w:r>
        <w:rPr>
          <w:rFonts w:hint="eastAsia" w:ascii="宋体" w:hAnsi="宋体"/>
          <w:b/>
          <w:sz w:val="32"/>
          <w:szCs w:val="32"/>
        </w:rPr>
        <w:t xml:space="preserve">             </w:t>
      </w:r>
    </w:p>
    <w:p w14:paraId="37211ED1">
      <w:pPr>
        <w:rPr>
          <w:rFonts w:ascii="宋体" w:hAnsi="宋体"/>
          <w:b/>
          <w:sz w:val="32"/>
          <w:szCs w:val="32"/>
        </w:rPr>
      </w:pPr>
    </w:p>
    <w:p w14:paraId="17E723C5">
      <w:pPr>
        <w:pStyle w:val="121"/>
        <w:ind w:left="2940"/>
      </w:pPr>
    </w:p>
    <w:p w14:paraId="30DC978A">
      <w:pPr>
        <w:ind w:left="2691" w:leftChars="541" w:hanging="1555" w:hangingChars="484"/>
        <w:rPr>
          <w:rFonts w:ascii="宋体" w:hAnsi="宋体"/>
          <w:b/>
          <w:sz w:val="32"/>
          <w:szCs w:val="32"/>
        </w:rPr>
      </w:pPr>
      <w:r>
        <w:rPr>
          <w:rFonts w:hint="eastAsia" w:ascii="宋体" w:hAnsi="宋体"/>
          <w:b/>
          <w:sz w:val="32"/>
          <w:szCs w:val="32"/>
        </w:rPr>
        <w:t>采 购 单 位：广西经贸职业技术学院</w:t>
      </w:r>
    </w:p>
    <w:p w14:paraId="03853232">
      <w:pPr>
        <w:ind w:left="2691" w:leftChars="541" w:hanging="1555" w:hangingChars="484"/>
        <w:rPr>
          <w:rFonts w:ascii="宋体" w:hAnsi="宋体"/>
          <w:b/>
          <w:sz w:val="32"/>
          <w:szCs w:val="32"/>
        </w:rPr>
      </w:pPr>
      <w:r>
        <w:rPr>
          <w:rFonts w:hint="eastAsia" w:ascii="宋体" w:hAnsi="宋体"/>
          <w:b/>
          <w:sz w:val="32"/>
          <w:szCs w:val="32"/>
        </w:rPr>
        <w:t>采购代理机构：</w:t>
      </w:r>
      <w:bookmarkStart w:id="3" w:name="OLE_LINK4"/>
      <w:bookmarkStart w:id="4" w:name="OLE_LINK5"/>
      <w:r>
        <w:rPr>
          <w:rFonts w:hint="eastAsia" w:ascii="宋体" w:hAnsi="宋体"/>
          <w:b/>
          <w:sz w:val="32"/>
          <w:szCs w:val="32"/>
        </w:rPr>
        <w:t>广西众联工程项目管理有限公司</w:t>
      </w:r>
      <w:bookmarkEnd w:id="3"/>
      <w:bookmarkEnd w:id="4"/>
    </w:p>
    <w:p w14:paraId="4943B3AD">
      <w:pPr>
        <w:jc w:val="center"/>
        <w:rPr>
          <w:rFonts w:ascii="宋体" w:hAnsi="宋体"/>
          <w:b/>
          <w:spacing w:val="-8"/>
          <w:sz w:val="32"/>
          <w:szCs w:val="32"/>
        </w:rPr>
      </w:pPr>
    </w:p>
    <w:p w14:paraId="749E78B8">
      <w:pPr>
        <w:jc w:val="center"/>
        <w:rPr>
          <w:rFonts w:ascii="仿宋_GB2312" w:hAnsi="宋体" w:eastAsia="仿宋_GB2312"/>
          <w:b/>
          <w:sz w:val="32"/>
          <w:szCs w:val="32"/>
        </w:rPr>
      </w:pPr>
      <w:r>
        <w:rPr>
          <w:rFonts w:hint="eastAsia" w:ascii="宋体" w:hAnsi="宋体"/>
          <w:b/>
          <w:sz w:val="32"/>
          <w:szCs w:val="32"/>
        </w:rPr>
        <w:t>2024年11月</w:t>
      </w:r>
      <w:r>
        <w:rPr>
          <w:rFonts w:hint="eastAsia" w:ascii="宋体" w:hAnsi="宋体"/>
          <w:b/>
          <w:sz w:val="32"/>
          <w:szCs w:val="32"/>
        </w:rPr>
        <w:cr/>
      </w:r>
    </w:p>
    <w:p w14:paraId="33381F80">
      <w:pPr>
        <w:tabs>
          <w:tab w:val="left" w:pos="1080"/>
        </w:tabs>
        <w:spacing w:line="360" w:lineRule="auto"/>
        <w:rPr>
          <w:rFonts w:ascii="宋体" w:hAnsi="宋体" w:cs="宋体"/>
          <w:szCs w:val="21"/>
        </w:rPr>
      </w:pPr>
    </w:p>
    <w:p w14:paraId="67EDAFA6">
      <w:pPr>
        <w:snapToGrid w:val="0"/>
        <w:spacing w:line="360" w:lineRule="auto"/>
        <w:jc w:val="center"/>
        <w:rPr>
          <w:rFonts w:asciiTheme="minorEastAsia" w:hAnsiTheme="minorEastAsia" w:eastAsiaTheme="minorEastAsia"/>
          <w:sz w:val="36"/>
          <w:szCs w:val="36"/>
        </w:rPr>
      </w:pPr>
    </w:p>
    <w:p w14:paraId="4D7801D2">
      <w:pPr>
        <w:pStyle w:val="9"/>
        <w:snapToGrid w:val="0"/>
        <w:spacing w:line="360" w:lineRule="auto"/>
        <w:ind w:left="0"/>
        <w:jc w:val="center"/>
        <w:rPr>
          <w:rFonts w:asciiTheme="minorEastAsia" w:hAnsiTheme="minorEastAsia" w:eastAsiaTheme="minorEastAsia"/>
          <w:b/>
          <w:sz w:val="44"/>
          <w:szCs w:val="36"/>
        </w:rPr>
      </w:pPr>
      <w:r>
        <w:rPr>
          <w:rFonts w:hint="eastAsia" w:asciiTheme="minorEastAsia" w:hAnsiTheme="minorEastAsia" w:eastAsiaTheme="minorEastAsia"/>
          <w:b/>
          <w:sz w:val="44"/>
          <w:szCs w:val="36"/>
        </w:rPr>
        <w:t>目   录</w:t>
      </w:r>
    </w:p>
    <w:p w14:paraId="3544110B">
      <w:pPr>
        <w:pStyle w:val="25"/>
        <w:tabs>
          <w:tab w:val="right" w:leader="dot" w:pos="9332"/>
        </w:tabs>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"_Toc23515" </w:instrText>
      </w:r>
      <w:r>
        <w:fldChar w:fldCharType="separate"/>
      </w:r>
      <w:r>
        <w:rPr>
          <w:rFonts w:hint="eastAsia"/>
          <w:sz w:val="32"/>
          <w:szCs w:val="32"/>
        </w:rPr>
        <w:t>第一章 竞争性磋商公告</w:t>
      </w:r>
      <w:r>
        <w:rPr>
          <w:sz w:val="32"/>
          <w:szCs w:val="32"/>
        </w:rPr>
        <w:tab/>
      </w:r>
      <w:r>
        <w:rPr>
          <w:sz w:val="32"/>
          <w:szCs w:val="32"/>
        </w:rPr>
        <w:fldChar w:fldCharType="begin"/>
      </w:r>
      <w:r>
        <w:rPr>
          <w:sz w:val="32"/>
          <w:szCs w:val="32"/>
        </w:rPr>
        <w:instrText xml:space="preserve"> PAGEREF _Toc23515 \h </w:instrText>
      </w:r>
      <w:r>
        <w:rPr>
          <w:sz w:val="32"/>
          <w:szCs w:val="32"/>
        </w:rPr>
        <w:fldChar w:fldCharType="separate"/>
      </w:r>
      <w:r>
        <w:rPr>
          <w:sz w:val="32"/>
          <w:szCs w:val="32"/>
        </w:rPr>
        <w:t>1</w:t>
      </w:r>
      <w:r>
        <w:rPr>
          <w:sz w:val="32"/>
          <w:szCs w:val="32"/>
        </w:rPr>
        <w:fldChar w:fldCharType="end"/>
      </w:r>
      <w:r>
        <w:rPr>
          <w:sz w:val="32"/>
          <w:szCs w:val="32"/>
        </w:rPr>
        <w:fldChar w:fldCharType="end"/>
      </w:r>
    </w:p>
    <w:p w14:paraId="7546984B">
      <w:pPr>
        <w:pStyle w:val="25"/>
        <w:tabs>
          <w:tab w:val="right" w:leader="dot" w:pos="9332"/>
        </w:tabs>
        <w:rPr>
          <w:sz w:val="32"/>
          <w:szCs w:val="32"/>
        </w:rPr>
      </w:pPr>
      <w:r>
        <w:fldChar w:fldCharType="begin"/>
      </w:r>
      <w:r>
        <w:instrText xml:space="preserve"> HYPERLINK \l "_Toc2466" </w:instrText>
      </w:r>
      <w:r>
        <w:fldChar w:fldCharType="separate"/>
      </w:r>
      <w:r>
        <w:rPr>
          <w:rFonts w:hint="eastAsia"/>
          <w:sz w:val="32"/>
          <w:szCs w:val="32"/>
        </w:rPr>
        <w:t>第二章 供应商须知</w:t>
      </w:r>
      <w:r>
        <w:rPr>
          <w:sz w:val="32"/>
          <w:szCs w:val="32"/>
        </w:rPr>
        <w:tab/>
      </w:r>
      <w:r>
        <w:rPr>
          <w:sz w:val="32"/>
          <w:szCs w:val="32"/>
        </w:rPr>
        <w:fldChar w:fldCharType="begin"/>
      </w:r>
      <w:r>
        <w:rPr>
          <w:sz w:val="32"/>
          <w:szCs w:val="32"/>
        </w:rPr>
        <w:instrText xml:space="preserve"> PAGEREF _Toc2466 \h </w:instrText>
      </w:r>
      <w:r>
        <w:rPr>
          <w:sz w:val="32"/>
          <w:szCs w:val="32"/>
        </w:rPr>
        <w:fldChar w:fldCharType="separate"/>
      </w:r>
      <w:r>
        <w:rPr>
          <w:sz w:val="32"/>
          <w:szCs w:val="32"/>
        </w:rPr>
        <w:t>5</w:t>
      </w:r>
      <w:r>
        <w:rPr>
          <w:sz w:val="32"/>
          <w:szCs w:val="32"/>
        </w:rPr>
        <w:fldChar w:fldCharType="end"/>
      </w:r>
      <w:r>
        <w:rPr>
          <w:sz w:val="32"/>
          <w:szCs w:val="32"/>
        </w:rPr>
        <w:fldChar w:fldCharType="end"/>
      </w:r>
    </w:p>
    <w:p w14:paraId="3817B638">
      <w:pPr>
        <w:pStyle w:val="25"/>
        <w:tabs>
          <w:tab w:val="right" w:leader="dot" w:pos="9332"/>
        </w:tabs>
        <w:rPr>
          <w:sz w:val="32"/>
          <w:szCs w:val="32"/>
        </w:rPr>
      </w:pPr>
      <w:r>
        <w:fldChar w:fldCharType="begin"/>
      </w:r>
      <w:r>
        <w:instrText xml:space="preserve"> HYPERLINK \l "_Toc14523" </w:instrText>
      </w:r>
      <w:r>
        <w:fldChar w:fldCharType="separate"/>
      </w:r>
      <w:r>
        <w:rPr>
          <w:rFonts w:hint="eastAsia"/>
          <w:sz w:val="32"/>
          <w:szCs w:val="32"/>
        </w:rPr>
        <w:t>第三章 采购需求</w:t>
      </w:r>
      <w:r>
        <w:rPr>
          <w:sz w:val="32"/>
          <w:szCs w:val="32"/>
        </w:rPr>
        <w:tab/>
      </w:r>
      <w:r>
        <w:rPr>
          <w:sz w:val="32"/>
          <w:szCs w:val="32"/>
        </w:rPr>
        <w:fldChar w:fldCharType="begin"/>
      </w:r>
      <w:r>
        <w:rPr>
          <w:sz w:val="32"/>
          <w:szCs w:val="32"/>
        </w:rPr>
        <w:instrText xml:space="preserve"> PAGEREF _Toc14523 \h </w:instrText>
      </w:r>
      <w:r>
        <w:rPr>
          <w:sz w:val="32"/>
          <w:szCs w:val="32"/>
        </w:rPr>
        <w:fldChar w:fldCharType="separate"/>
      </w:r>
      <w:r>
        <w:rPr>
          <w:sz w:val="32"/>
          <w:szCs w:val="32"/>
        </w:rPr>
        <w:t>18</w:t>
      </w:r>
      <w:r>
        <w:rPr>
          <w:sz w:val="32"/>
          <w:szCs w:val="32"/>
        </w:rPr>
        <w:fldChar w:fldCharType="end"/>
      </w:r>
      <w:r>
        <w:rPr>
          <w:sz w:val="32"/>
          <w:szCs w:val="32"/>
        </w:rPr>
        <w:fldChar w:fldCharType="end"/>
      </w:r>
    </w:p>
    <w:p w14:paraId="592C3245">
      <w:pPr>
        <w:pStyle w:val="25"/>
        <w:tabs>
          <w:tab w:val="right" w:leader="dot" w:pos="9332"/>
        </w:tabs>
        <w:rPr>
          <w:sz w:val="32"/>
          <w:szCs w:val="32"/>
        </w:rPr>
      </w:pPr>
      <w:r>
        <w:fldChar w:fldCharType="begin"/>
      </w:r>
      <w:r>
        <w:instrText xml:space="preserve"> HYPERLINK \l "_Toc29589" </w:instrText>
      </w:r>
      <w:r>
        <w:fldChar w:fldCharType="separate"/>
      </w:r>
      <w:r>
        <w:rPr>
          <w:rFonts w:hint="eastAsia"/>
          <w:sz w:val="32"/>
          <w:szCs w:val="32"/>
        </w:rPr>
        <w:t>第四章 评审程序、评审方法和评审标准</w:t>
      </w:r>
      <w:r>
        <w:rPr>
          <w:sz w:val="32"/>
          <w:szCs w:val="32"/>
        </w:rPr>
        <w:tab/>
      </w:r>
      <w:r>
        <w:rPr>
          <w:sz w:val="32"/>
          <w:szCs w:val="32"/>
        </w:rPr>
        <w:fldChar w:fldCharType="begin"/>
      </w:r>
      <w:r>
        <w:rPr>
          <w:sz w:val="32"/>
          <w:szCs w:val="32"/>
        </w:rPr>
        <w:instrText xml:space="preserve"> PAGEREF _Toc29589 \h </w:instrText>
      </w:r>
      <w:r>
        <w:rPr>
          <w:sz w:val="32"/>
          <w:szCs w:val="32"/>
        </w:rPr>
        <w:fldChar w:fldCharType="separate"/>
      </w:r>
      <w:r>
        <w:rPr>
          <w:sz w:val="32"/>
          <w:szCs w:val="32"/>
        </w:rPr>
        <w:t>48</w:t>
      </w:r>
      <w:r>
        <w:rPr>
          <w:sz w:val="32"/>
          <w:szCs w:val="32"/>
        </w:rPr>
        <w:fldChar w:fldCharType="end"/>
      </w:r>
      <w:r>
        <w:rPr>
          <w:sz w:val="32"/>
          <w:szCs w:val="32"/>
        </w:rPr>
        <w:fldChar w:fldCharType="end"/>
      </w:r>
    </w:p>
    <w:p w14:paraId="70DA4A5B">
      <w:pPr>
        <w:pStyle w:val="25"/>
        <w:tabs>
          <w:tab w:val="right" w:leader="dot" w:pos="9332"/>
        </w:tabs>
        <w:rPr>
          <w:sz w:val="32"/>
          <w:szCs w:val="32"/>
        </w:rPr>
      </w:pPr>
      <w:r>
        <w:fldChar w:fldCharType="begin"/>
      </w:r>
      <w:r>
        <w:instrText xml:space="preserve"> HYPERLINK \l "_Toc22081" </w:instrText>
      </w:r>
      <w:r>
        <w:fldChar w:fldCharType="separate"/>
      </w:r>
      <w:r>
        <w:rPr>
          <w:rFonts w:hint="eastAsia"/>
          <w:sz w:val="32"/>
          <w:szCs w:val="32"/>
        </w:rPr>
        <w:t>第五章 响应文件格式</w:t>
      </w:r>
      <w:r>
        <w:rPr>
          <w:sz w:val="32"/>
          <w:szCs w:val="32"/>
        </w:rPr>
        <w:tab/>
      </w:r>
      <w:r>
        <w:rPr>
          <w:sz w:val="32"/>
          <w:szCs w:val="32"/>
        </w:rPr>
        <w:fldChar w:fldCharType="begin"/>
      </w:r>
      <w:r>
        <w:rPr>
          <w:sz w:val="32"/>
          <w:szCs w:val="32"/>
        </w:rPr>
        <w:instrText xml:space="preserve"> PAGEREF _Toc22081 \h </w:instrText>
      </w:r>
      <w:r>
        <w:rPr>
          <w:sz w:val="32"/>
          <w:szCs w:val="32"/>
        </w:rPr>
        <w:fldChar w:fldCharType="separate"/>
      </w:r>
      <w:r>
        <w:rPr>
          <w:sz w:val="32"/>
          <w:szCs w:val="32"/>
        </w:rPr>
        <w:t>54</w:t>
      </w:r>
      <w:r>
        <w:rPr>
          <w:sz w:val="32"/>
          <w:szCs w:val="32"/>
        </w:rPr>
        <w:fldChar w:fldCharType="end"/>
      </w:r>
      <w:r>
        <w:rPr>
          <w:sz w:val="32"/>
          <w:szCs w:val="32"/>
        </w:rPr>
        <w:fldChar w:fldCharType="end"/>
      </w:r>
    </w:p>
    <w:p w14:paraId="7A6E14BA">
      <w:pPr>
        <w:pStyle w:val="25"/>
        <w:tabs>
          <w:tab w:val="right" w:leader="dot" w:pos="9332"/>
        </w:tabs>
        <w:rPr>
          <w:sz w:val="32"/>
          <w:szCs w:val="32"/>
        </w:rPr>
      </w:pPr>
      <w:r>
        <w:fldChar w:fldCharType="begin"/>
      </w:r>
      <w:r>
        <w:instrText xml:space="preserve"> HYPERLINK \l "_Toc29054" </w:instrText>
      </w:r>
      <w:r>
        <w:fldChar w:fldCharType="separate"/>
      </w:r>
      <w:r>
        <w:rPr>
          <w:rFonts w:hint="eastAsia"/>
          <w:sz w:val="32"/>
          <w:szCs w:val="32"/>
        </w:rPr>
        <w:t>第六章 拟定的合同文本</w:t>
      </w:r>
      <w:r>
        <w:rPr>
          <w:sz w:val="32"/>
          <w:szCs w:val="32"/>
        </w:rPr>
        <w:tab/>
      </w:r>
      <w:r>
        <w:rPr>
          <w:sz w:val="32"/>
          <w:szCs w:val="32"/>
        </w:rPr>
        <w:fldChar w:fldCharType="begin"/>
      </w:r>
      <w:r>
        <w:rPr>
          <w:sz w:val="32"/>
          <w:szCs w:val="32"/>
        </w:rPr>
        <w:instrText xml:space="preserve"> PAGEREF _Toc29054 \h </w:instrText>
      </w:r>
      <w:r>
        <w:rPr>
          <w:sz w:val="32"/>
          <w:szCs w:val="32"/>
        </w:rPr>
        <w:fldChar w:fldCharType="separate"/>
      </w:r>
      <w:r>
        <w:rPr>
          <w:sz w:val="32"/>
          <w:szCs w:val="32"/>
        </w:rPr>
        <w:t>81</w:t>
      </w:r>
      <w:r>
        <w:rPr>
          <w:sz w:val="32"/>
          <w:szCs w:val="32"/>
        </w:rPr>
        <w:fldChar w:fldCharType="end"/>
      </w:r>
      <w:r>
        <w:rPr>
          <w:sz w:val="32"/>
          <w:szCs w:val="32"/>
        </w:rPr>
        <w:fldChar w:fldCharType="end"/>
      </w:r>
    </w:p>
    <w:p w14:paraId="5D10B367">
      <w:pPr>
        <w:rPr>
          <w:sz w:val="32"/>
          <w:szCs w:val="32"/>
        </w:rPr>
      </w:pPr>
      <w:r>
        <w:rPr>
          <w:sz w:val="32"/>
          <w:szCs w:val="32"/>
        </w:rPr>
        <w:fldChar w:fldCharType="end"/>
      </w:r>
    </w:p>
    <w:p w14:paraId="5EC9F0C4">
      <w:pPr>
        <w:pStyle w:val="27"/>
        <w:snapToGrid w:val="0"/>
        <w:spacing w:line="360" w:lineRule="auto"/>
        <w:ind w:left="0" w:leftChars="0"/>
        <w:rPr>
          <w:rFonts w:asciiTheme="minorEastAsia" w:hAnsiTheme="minorEastAsia" w:eastAsiaTheme="minorEastAsia"/>
          <w:b/>
          <w:sz w:val="36"/>
          <w:szCs w:val="36"/>
        </w:rPr>
      </w:pPr>
    </w:p>
    <w:p w14:paraId="67AFEB63">
      <w:pPr>
        <w:pStyle w:val="27"/>
        <w:snapToGrid w:val="0"/>
        <w:spacing w:line="360" w:lineRule="auto"/>
        <w:ind w:left="0" w:leftChars="0"/>
        <w:rPr>
          <w:rFonts w:asciiTheme="minorEastAsia" w:hAnsiTheme="minorEastAsia" w:eastAsiaTheme="minorEastAsia"/>
          <w:b/>
          <w:sz w:val="36"/>
          <w:szCs w:val="36"/>
        </w:rPr>
      </w:pPr>
    </w:p>
    <w:p w14:paraId="70FC1BB7">
      <w:pPr>
        <w:pStyle w:val="27"/>
        <w:snapToGrid w:val="0"/>
        <w:spacing w:line="360" w:lineRule="auto"/>
        <w:ind w:left="0" w:leftChars="0"/>
        <w:rPr>
          <w:rFonts w:asciiTheme="minorEastAsia" w:hAnsiTheme="minorEastAsia" w:eastAsiaTheme="minorEastAsia"/>
          <w:b/>
          <w:sz w:val="36"/>
          <w:szCs w:val="36"/>
        </w:rPr>
        <w:sectPr>
          <w:headerReference r:id="rId3" w:type="default"/>
          <w:footerReference r:id="rId4" w:type="default"/>
          <w:pgSz w:w="11906" w:h="16838"/>
          <w:pgMar w:top="1134" w:right="1134" w:bottom="1134" w:left="1440" w:header="851" w:footer="992" w:gutter="0"/>
          <w:pgNumType w:start="1"/>
          <w:cols w:space="720" w:num="1"/>
          <w:docGrid w:type="lines" w:linePitch="312" w:charSpace="0"/>
        </w:sectPr>
      </w:pPr>
    </w:p>
    <w:p w14:paraId="11E536D7">
      <w:pPr>
        <w:pStyle w:val="2"/>
      </w:pPr>
      <w:bookmarkStart w:id="5" w:name="_Toc73549978"/>
      <w:bookmarkStart w:id="6" w:name="_Toc44229877"/>
      <w:bookmarkStart w:id="7" w:name="_Toc136592390"/>
      <w:bookmarkStart w:id="8" w:name="_Toc23515"/>
      <w:r>
        <w:rPr>
          <w:rFonts w:hint="eastAsia"/>
        </w:rPr>
        <w:t>第一章 竞争性磋商公告</w:t>
      </w:r>
      <w:bookmarkEnd w:id="5"/>
      <w:bookmarkEnd w:id="6"/>
      <w:bookmarkEnd w:id="7"/>
      <w:bookmarkEnd w:id="8"/>
    </w:p>
    <w:p w14:paraId="4A173ADD">
      <w:pPr>
        <w:pBdr>
          <w:top w:val="single" w:color="auto" w:sz="4" w:space="1"/>
          <w:left w:val="single" w:color="auto" w:sz="4" w:space="4"/>
          <w:bottom w:val="single" w:color="auto" w:sz="4" w:space="1"/>
          <w:right w:val="single" w:color="auto" w:sz="4" w:space="4"/>
        </w:pBdr>
        <w:snapToGrid w:val="0"/>
        <w:spacing w:line="420" w:lineRule="exact"/>
        <w:rPr>
          <w:rFonts w:ascii="宋体" w:hAnsi="宋体"/>
          <w:szCs w:val="21"/>
        </w:rPr>
      </w:pPr>
      <w:bookmarkStart w:id="9" w:name="_Hlk37430271"/>
      <w:r>
        <w:rPr>
          <w:rFonts w:hint="eastAsia" w:ascii="宋体" w:hAnsi="宋体"/>
          <w:szCs w:val="21"/>
        </w:rPr>
        <w:t>项目概况：</w:t>
      </w:r>
    </w:p>
    <w:p w14:paraId="0D855F86">
      <w:pPr>
        <w:pBdr>
          <w:top w:val="single" w:color="auto" w:sz="4" w:space="1"/>
          <w:left w:val="single" w:color="auto" w:sz="4" w:space="4"/>
          <w:bottom w:val="single" w:color="auto" w:sz="4" w:space="1"/>
          <w:right w:val="single" w:color="auto" w:sz="4" w:space="4"/>
        </w:pBdr>
        <w:snapToGrid w:val="0"/>
        <w:spacing w:line="420" w:lineRule="exact"/>
        <w:ind w:firstLine="420" w:firstLineChars="200"/>
        <w:rPr>
          <w:rFonts w:ascii="宋体" w:hAnsi="宋体"/>
          <w:szCs w:val="21"/>
        </w:rPr>
      </w:pPr>
      <w:r>
        <w:rPr>
          <w:rFonts w:hint="eastAsia" w:ascii="宋体" w:hAnsi="宋体"/>
          <w:szCs w:val="21"/>
          <w:u w:val="single"/>
        </w:rPr>
        <w:t>网络营销与直播电商专业教学资源库一馆一中心一基地线上资源、网店推广职业技能等级认定培训资源包建设</w:t>
      </w:r>
      <w:r>
        <w:rPr>
          <w:rFonts w:hint="eastAsia" w:ascii="宋体" w:hAnsi="宋体"/>
          <w:spacing w:val="-2"/>
          <w:szCs w:val="21"/>
        </w:rPr>
        <w:t>的潜在供应商应在</w:t>
      </w:r>
      <w:r>
        <w:rPr>
          <w:rFonts w:hint="eastAsia" w:ascii="宋体" w:hAnsi="宋体" w:cs="宋体"/>
          <w:szCs w:val="21"/>
        </w:rPr>
        <w:t>广西众联工程项目管理有限公司（南宁市江南区白沙大道53号松宇时代14A层）财务部</w:t>
      </w:r>
      <w:r>
        <w:rPr>
          <w:rFonts w:hint="eastAsia" w:ascii="宋体" w:hAnsi="宋体"/>
          <w:spacing w:val="-2"/>
          <w:szCs w:val="21"/>
        </w:rPr>
        <w:t>获取采购文件，并于</w:t>
      </w:r>
      <w:r>
        <w:rPr>
          <w:rFonts w:hint="eastAsia" w:ascii="宋体" w:hAnsi="宋体"/>
          <w:szCs w:val="21"/>
          <w:u w:val="single"/>
        </w:rPr>
        <w:t>2024年</w:t>
      </w:r>
      <w:r>
        <w:rPr>
          <w:rFonts w:hint="eastAsia" w:ascii="宋体" w:hAnsi="宋体"/>
          <w:szCs w:val="21"/>
          <w:u w:val="single"/>
          <w:lang w:val="en-US" w:eastAsia="zh-CN"/>
        </w:rPr>
        <w:t>12</w:t>
      </w:r>
      <w:r>
        <w:rPr>
          <w:rFonts w:hint="eastAsia" w:ascii="宋体" w:hAnsi="宋体"/>
          <w:szCs w:val="21"/>
          <w:u w:val="single"/>
        </w:rPr>
        <w:t>月</w:t>
      </w:r>
      <w:r>
        <w:rPr>
          <w:rFonts w:hint="eastAsia" w:ascii="宋体" w:hAnsi="宋体"/>
          <w:szCs w:val="21"/>
          <w:u w:val="single"/>
          <w:lang w:val="en-US" w:eastAsia="zh-CN"/>
        </w:rPr>
        <w:t>10</w:t>
      </w:r>
      <w:r>
        <w:rPr>
          <w:rFonts w:hint="eastAsia" w:ascii="宋体" w:hAnsi="宋体"/>
          <w:szCs w:val="21"/>
          <w:u w:val="single"/>
        </w:rPr>
        <w:t>日</w:t>
      </w:r>
      <w:r>
        <w:rPr>
          <w:rFonts w:hint="eastAsia" w:ascii="宋体" w:hAnsi="宋体"/>
          <w:szCs w:val="21"/>
          <w:u w:val="single"/>
          <w:lang w:val="en-US" w:eastAsia="zh-CN"/>
        </w:rPr>
        <w:t>9</w:t>
      </w:r>
      <w:r>
        <w:rPr>
          <w:rFonts w:hint="eastAsia" w:ascii="宋体" w:hAnsi="宋体"/>
          <w:bCs/>
          <w:szCs w:val="21"/>
          <w:u w:val="single"/>
        </w:rPr>
        <w:t>时30分</w:t>
      </w:r>
      <w:bookmarkStart w:id="200" w:name="_GoBack"/>
      <w:bookmarkEnd w:id="200"/>
      <w:r>
        <w:rPr>
          <w:rFonts w:hint="eastAsia" w:ascii="宋体" w:hAnsi="宋体"/>
          <w:bCs/>
          <w:spacing w:val="-2"/>
          <w:szCs w:val="21"/>
        </w:rPr>
        <w:t>（北京时间）前提交响应</w:t>
      </w:r>
      <w:r>
        <w:rPr>
          <w:rFonts w:ascii="宋体" w:hAnsi="宋体"/>
          <w:bCs/>
          <w:spacing w:val="-2"/>
          <w:szCs w:val="21"/>
        </w:rPr>
        <w:t>文件</w:t>
      </w:r>
      <w:r>
        <w:rPr>
          <w:rFonts w:hint="eastAsia" w:ascii="宋体" w:hAnsi="宋体"/>
          <w:szCs w:val="21"/>
        </w:rPr>
        <w:t>。</w:t>
      </w:r>
    </w:p>
    <w:p w14:paraId="0E7BC513">
      <w:pPr>
        <w:pStyle w:val="3"/>
        <w:spacing w:line="420" w:lineRule="exact"/>
        <w:ind w:firstLine="482" w:firstLineChars="200"/>
        <w:jc w:val="left"/>
        <w:rPr>
          <w:rFonts w:ascii="黑体" w:hAnsi="黑体" w:eastAsia="黑体" w:cs="宋体"/>
          <w:bCs w:val="0"/>
          <w:sz w:val="24"/>
          <w:szCs w:val="24"/>
        </w:rPr>
      </w:pPr>
      <w:bookmarkStart w:id="10" w:name="_Toc73549979"/>
      <w:bookmarkStart w:id="11" w:name="_Toc35393798"/>
      <w:bookmarkStart w:id="12" w:name="_Toc35393629"/>
      <w:bookmarkStart w:id="13" w:name="_Toc28359012"/>
      <w:bookmarkStart w:id="14" w:name="_Toc44229878"/>
      <w:bookmarkStart w:id="15" w:name="_Toc28359089"/>
      <w:bookmarkStart w:id="16" w:name="_Toc136592391"/>
      <w:r>
        <w:rPr>
          <w:rFonts w:hint="eastAsia" w:ascii="黑体" w:hAnsi="黑体" w:eastAsia="黑体" w:cs="宋体"/>
          <w:bCs w:val="0"/>
          <w:sz w:val="24"/>
          <w:szCs w:val="24"/>
        </w:rPr>
        <w:t>一、项目基本情况</w:t>
      </w:r>
      <w:bookmarkEnd w:id="10"/>
      <w:bookmarkEnd w:id="11"/>
      <w:bookmarkEnd w:id="12"/>
      <w:bookmarkEnd w:id="13"/>
      <w:bookmarkEnd w:id="14"/>
      <w:bookmarkEnd w:id="15"/>
      <w:bookmarkEnd w:id="16"/>
    </w:p>
    <w:p w14:paraId="402C9270">
      <w:pPr>
        <w:snapToGrid w:val="0"/>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 xml:space="preserve">项目编号：ZB2024-530 </w:t>
      </w:r>
    </w:p>
    <w:p w14:paraId="3AF6A989">
      <w:pPr>
        <w:snapToGrid w:val="0"/>
        <w:spacing w:line="420" w:lineRule="exact"/>
        <w:ind w:left="1680" w:leftChars="200" w:hanging="1260" w:hangingChars="600"/>
        <w:rPr>
          <w:rFonts w:hint="eastAsia" w:ascii="宋体" w:hAnsi="宋体"/>
          <w:szCs w:val="21"/>
          <w:lang w:eastAsia="zh-CN"/>
        </w:rPr>
      </w:pPr>
      <w:r>
        <w:rPr>
          <w:rFonts w:hint="eastAsia" w:ascii="宋体" w:hAnsi="宋体"/>
          <w:szCs w:val="21"/>
        </w:rPr>
        <w:t>2</w:t>
      </w:r>
      <w:r>
        <w:rPr>
          <w:rFonts w:ascii="宋体" w:hAnsi="宋体"/>
          <w:szCs w:val="21"/>
        </w:rPr>
        <w:t>.</w:t>
      </w:r>
      <w:r>
        <w:rPr>
          <w:rFonts w:hint="eastAsia" w:ascii="宋体" w:hAnsi="宋体"/>
          <w:szCs w:val="21"/>
        </w:rPr>
        <w:t>项目名称：网络营销与直播电商专业教学资源库一馆一中心一基地线上资源建设</w:t>
      </w:r>
      <w:r>
        <w:rPr>
          <w:rFonts w:hint="eastAsia" w:ascii="宋体" w:hAnsi="宋体"/>
          <w:szCs w:val="21"/>
          <w:lang w:eastAsia="zh-CN"/>
        </w:rPr>
        <w:t>、</w:t>
      </w:r>
      <w:r>
        <w:rPr>
          <w:rFonts w:hint="eastAsia" w:ascii="宋体" w:hAnsi="宋体"/>
          <w:szCs w:val="21"/>
        </w:rPr>
        <w:t>网店推广职业技能等级认定培训资源包建设</w:t>
      </w:r>
    </w:p>
    <w:p w14:paraId="2A1248DC">
      <w:pPr>
        <w:snapToGrid w:val="0"/>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采购方式：□竞争性谈判  ☑竞争性磋商  □询价</w:t>
      </w:r>
    </w:p>
    <w:p w14:paraId="31924E05">
      <w:pPr>
        <w:snapToGrid w:val="0"/>
        <w:spacing w:line="42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预算金额：（大写）人民币伍拾万元整（小写）¥500000.00</w:t>
      </w:r>
    </w:p>
    <w:p w14:paraId="789CA844">
      <w:pPr>
        <w:snapToGrid w:val="0"/>
        <w:spacing w:line="42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最高限价：按预算金额</w:t>
      </w:r>
    </w:p>
    <w:p w14:paraId="5FD08248">
      <w:pPr>
        <w:snapToGrid w:val="0"/>
        <w:spacing w:line="42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采购需求（见下表，具体详见采购文件）：</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78"/>
        <w:gridCol w:w="1946"/>
        <w:gridCol w:w="923"/>
        <w:gridCol w:w="6507"/>
      </w:tblGrid>
      <w:tr w14:paraId="33DD2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BE9081D">
            <w:pPr>
              <w:snapToGrid w:val="0"/>
              <w:spacing w:line="360" w:lineRule="auto"/>
              <w:jc w:val="center"/>
              <w:rPr>
                <w:rFonts w:ascii="宋体" w:hAnsi="宋体" w:cs="宋体"/>
                <w:szCs w:val="21"/>
              </w:rPr>
            </w:pPr>
            <w:r>
              <w:rPr>
                <w:rFonts w:hint="eastAsia" w:ascii="宋体" w:hAnsi="宋体" w:cs="宋体"/>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7FC2C094">
            <w:pPr>
              <w:snapToGrid w:val="0"/>
              <w:spacing w:line="360" w:lineRule="auto"/>
              <w:jc w:val="center"/>
              <w:rPr>
                <w:rFonts w:ascii="宋体" w:hAnsi="宋体" w:cs="宋体"/>
                <w:szCs w:val="21"/>
              </w:rPr>
            </w:pPr>
            <w:r>
              <w:rPr>
                <w:rFonts w:hint="eastAsia" w:ascii="宋体" w:hAnsi="宋体" w:cs="宋体"/>
                <w:szCs w:val="21"/>
              </w:rPr>
              <w:t>标的名称</w:t>
            </w:r>
          </w:p>
        </w:tc>
        <w:tc>
          <w:tcPr>
            <w:tcW w:w="923" w:type="dxa"/>
            <w:tcBorders>
              <w:top w:val="single" w:color="auto" w:sz="4" w:space="0"/>
              <w:left w:val="single" w:color="auto" w:sz="4" w:space="0"/>
              <w:bottom w:val="single" w:color="auto" w:sz="4" w:space="0"/>
              <w:right w:val="single" w:color="auto" w:sz="4" w:space="0"/>
            </w:tcBorders>
            <w:vAlign w:val="center"/>
          </w:tcPr>
          <w:p w14:paraId="42401793">
            <w:pPr>
              <w:snapToGrid w:val="0"/>
              <w:spacing w:line="360" w:lineRule="auto"/>
              <w:jc w:val="center"/>
              <w:rPr>
                <w:rFonts w:ascii="宋体" w:hAnsi="宋体" w:cs="宋体"/>
                <w:szCs w:val="21"/>
              </w:rPr>
            </w:pPr>
            <w:r>
              <w:rPr>
                <w:rFonts w:hint="eastAsia" w:ascii="宋体" w:hAnsi="宋体" w:cs="宋体"/>
                <w:szCs w:val="21"/>
              </w:rPr>
              <w:t>数量及单位</w:t>
            </w:r>
          </w:p>
        </w:tc>
        <w:tc>
          <w:tcPr>
            <w:tcW w:w="6507" w:type="dxa"/>
            <w:tcBorders>
              <w:top w:val="single" w:color="auto" w:sz="4" w:space="0"/>
              <w:left w:val="single" w:color="auto" w:sz="4" w:space="0"/>
              <w:bottom w:val="single" w:color="auto" w:sz="4" w:space="0"/>
              <w:right w:val="single" w:color="auto" w:sz="4" w:space="0"/>
            </w:tcBorders>
            <w:vAlign w:val="center"/>
          </w:tcPr>
          <w:p w14:paraId="18542982">
            <w:pPr>
              <w:snapToGrid w:val="0"/>
              <w:spacing w:line="360" w:lineRule="auto"/>
              <w:jc w:val="center"/>
              <w:rPr>
                <w:rFonts w:ascii="宋体" w:hAnsi="宋体" w:cs="宋体"/>
                <w:szCs w:val="21"/>
              </w:rPr>
            </w:pPr>
            <w:r>
              <w:rPr>
                <w:rFonts w:hint="eastAsia" w:ascii="宋体" w:hAnsi="宋体" w:cs="宋体"/>
                <w:szCs w:val="21"/>
              </w:rPr>
              <w:t>简要规格描述或项目基本概况介绍、用途</w:t>
            </w:r>
          </w:p>
        </w:tc>
      </w:tr>
      <w:tr w14:paraId="3B274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2D3098B4">
            <w:pPr>
              <w:widowControl/>
              <w:spacing w:line="360" w:lineRule="auto"/>
              <w:jc w:val="center"/>
              <w:rPr>
                <w:rFonts w:ascii="宋体" w:hAnsi="宋体" w:cs="宋体"/>
                <w:szCs w:val="21"/>
              </w:rPr>
            </w:pPr>
            <w:r>
              <w:rPr>
                <w:rFonts w:hint="eastAsia" w:ascii="宋体" w:hAnsi="宋体" w:cs="宋体"/>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14:paraId="4D8C4C3C">
            <w:pPr>
              <w:spacing w:line="360" w:lineRule="auto"/>
              <w:jc w:val="center"/>
              <w:rPr>
                <w:rFonts w:ascii="宋体" w:hAnsi="宋体" w:cs="宋体"/>
                <w:szCs w:val="21"/>
              </w:rPr>
            </w:pPr>
            <w:r>
              <w:rPr>
                <w:rFonts w:hint="eastAsia" w:ascii="宋体" w:hAnsi="宋体"/>
                <w:szCs w:val="21"/>
              </w:rPr>
              <w:t>网络营销与直播电商专业教学资源库一馆一中心一基地线上资源建设</w:t>
            </w:r>
          </w:p>
        </w:tc>
        <w:tc>
          <w:tcPr>
            <w:tcW w:w="923" w:type="dxa"/>
            <w:tcBorders>
              <w:top w:val="single" w:color="auto" w:sz="4" w:space="0"/>
              <w:left w:val="single" w:color="auto" w:sz="4" w:space="0"/>
              <w:bottom w:val="single" w:color="auto" w:sz="4" w:space="0"/>
              <w:right w:val="single" w:color="auto" w:sz="4" w:space="0"/>
            </w:tcBorders>
            <w:vAlign w:val="center"/>
          </w:tcPr>
          <w:p w14:paraId="43C55F2E">
            <w:pPr>
              <w:spacing w:line="360" w:lineRule="auto"/>
              <w:jc w:val="center"/>
              <w:rPr>
                <w:rFonts w:ascii="宋体" w:hAnsi="宋体" w:cs="宋体"/>
                <w:szCs w:val="21"/>
              </w:rPr>
            </w:pPr>
            <w:r>
              <w:rPr>
                <w:rFonts w:hint="eastAsia" w:ascii="宋体" w:hAnsi="宋体" w:cs="宋体"/>
                <w:szCs w:val="21"/>
              </w:rPr>
              <w:t>1项</w:t>
            </w:r>
          </w:p>
        </w:tc>
        <w:tc>
          <w:tcPr>
            <w:tcW w:w="6507" w:type="dxa"/>
            <w:tcBorders>
              <w:top w:val="single" w:color="auto" w:sz="4" w:space="0"/>
              <w:left w:val="single" w:color="auto" w:sz="4" w:space="0"/>
              <w:bottom w:val="single" w:color="auto" w:sz="4" w:space="0"/>
              <w:right w:val="single" w:color="auto" w:sz="4" w:space="0"/>
            </w:tcBorders>
            <w:vAlign w:val="center"/>
          </w:tcPr>
          <w:p w14:paraId="6F99C3F9">
            <w:pPr>
              <w:spacing w:line="360" w:lineRule="auto"/>
              <w:jc w:val="left"/>
              <w:rPr>
                <w:rFonts w:ascii="宋体" w:hAnsi="宋体" w:cs="宋体"/>
                <w:szCs w:val="21"/>
              </w:rPr>
            </w:pPr>
            <w:r>
              <w:rPr>
                <w:rFonts w:hint="eastAsia" w:ascii="宋体" w:hAnsi="宋体"/>
                <w:szCs w:val="21"/>
              </w:rPr>
              <w:t>网络营销与直播电商专业教学资源库一馆一中心一基地线上资源建设</w:t>
            </w:r>
            <w:r>
              <w:rPr>
                <w:rFonts w:hint="eastAsia" w:ascii="宋体" w:hAnsi="宋体" w:cs="宋体"/>
                <w:bCs/>
                <w:szCs w:val="21"/>
              </w:rPr>
              <w:t>。具体详见竞争性磋商文件第三章采购需求。</w:t>
            </w:r>
          </w:p>
        </w:tc>
      </w:tr>
      <w:tr w14:paraId="72DC8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60DA53DE">
            <w:pPr>
              <w:widowControl/>
              <w:spacing w:line="360" w:lineRule="auto"/>
              <w:jc w:val="center"/>
              <w:rPr>
                <w:rFonts w:ascii="宋体" w:hAnsi="宋体" w:cs="宋体"/>
                <w:szCs w:val="21"/>
              </w:rPr>
            </w:pPr>
            <w:r>
              <w:rPr>
                <w:rFonts w:hint="eastAsia" w:ascii="宋体" w:hAnsi="宋体" w:cs="宋体"/>
                <w:szCs w:val="21"/>
              </w:rPr>
              <w:t>2</w:t>
            </w:r>
          </w:p>
        </w:tc>
        <w:tc>
          <w:tcPr>
            <w:tcW w:w="1946" w:type="dxa"/>
            <w:tcBorders>
              <w:top w:val="single" w:color="auto" w:sz="4" w:space="0"/>
              <w:left w:val="single" w:color="auto" w:sz="4" w:space="0"/>
              <w:bottom w:val="single" w:color="auto" w:sz="4" w:space="0"/>
              <w:right w:val="single" w:color="auto" w:sz="4" w:space="0"/>
            </w:tcBorders>
            <w:vAlign w:val="center"/>
          </w:tcPr>
          <w:p w14:paraId="6FE12FC1">
            <w:pPr>
              <w:spacing w:line="360" w:lineRule="auto"/>
              <w:jc w:val="center"/>
              <w:rPr>
                <w:rFonts w:ascii="宋体" w:hAnsi="宋体"/>
                <w:szCs w:val="21"/>
              </w:rPr>
            </w:pPr>
            <w:r>
              <w:rPr>
                <w:rFonts w:hint="eastAsia" w:ascii="宋体" w:hAnsi="宋体" w:eastAsia="Times New Roman" w:cs="仿宋_GB2312"/>
                <w:szCs w:val="21"/>
              </w:rPr>
              <w:t>数字贸易国际交流中心</w:t>
            </w:r>
            <w:r>
              <w:rPr>
                <w:rFonts w:hint="eastAsia" w:ascii="宋体" w:hAnsi="宋体" w:eastAsia="Times New Roman"/>
                <w:szCs w:val="21"/>
              </w:rPr>
              <w:t>数字化资源建设</w:t>
            </w:r>
          </w:p>
        </w:tc>
        <w:tc>
          <w:tcPr>
            <w:tcW w:w="923" w:type="dxa"/>
            <w:tcBorders>
              <w:top w:val="single" w:color="auto" w:sz="4" w:space="0"/>
              <w:left w:val="single" w:color="auto" w:sz="4" w:space="0"/>
              <w:bottom w:val="single" w:color="auto" w:sz="4" w:space="0"/>
              <w:right w:val="single" w:color="auto" w:sz="4" w:space="0"/>
            </w:tcBorders>
            <w:vAlign w:val="center"/>
          </w:tcPr>
          <w:p w14:paraId="2DAB64BA">
            <w:pPr>
              <w:spacing w:line="360" w:lineRule="auto"/>
              <w:jc w:val="center"/>
              <w:rPr>
                <w:rFonts w:ascii="宋体" w:hAnsi="宋体" w:cs="宋体"/>
                <w:szCs w:val="21"/>
              </w:rPr>
            </w:pPr>
            <w:r>
              <w:rPr>
                <w:rFonts w:hint="eastAsia" w:ascii="宋体" w:hAnsi="宋体" w:cs="宋体"/>
                <w:szCs w:val="21"/>
              </w:rPr>
              <w:t>1项</w:t>
            </w:r>
          </w:p>
        </w:tc>
        <w:tc>
          <w:tcPr>
            <w:tcW w:w="6507" w:type="dxa"/>
            <w:tcBorders>
              <w:top w:val="single" w:color="auto" w:sz="4" w:space="0"/>
              <w:left w:val="single" w:color="auto" w:sz="4" w:space="0"/>
              <w:bottom w:val="single" w:color="auto" w:sz="4" w:space="0"/>
              <w:right w:val="single" w:color="auto" w:sz="4" w:space="0"/>
            </w:tcBorders>
            <w:vAlign w:val="center"/>
          </w:tcPr>
          <w:p w14:paraId="32EEAE9B">
            <w:pPr>
              <w:spacing w:line="360" w:lineRule="auto"/>
              <w:jc w:val="left"/>
              <w:rPr>
                <w:rFonts w:ascii="宋体" w:hAnsi="宋体"/>
                <w:szCs w:val="21"/>
              </w:rPr>
            </w:pPr>
            <w:r>
              <w:rPr>
                <w:rFonts w:hint="eastAsia" w:ascii="宋体" w:hAnsi="宋体" w:eastAsia="Times New Roman" w:cs="仿宋_GB2312"/>
                <w:szCs w:val="21"/>
              </w:rPr>
              <w:t>数字贸易国际交流中心</w:t>
            </w:r>
            <w:r>
              <w:rPr>
                <w:rFonts w:hint="eastAsia" w:ascii="宋体" w:hAnsi="宋体" w:eastAsia="Times New Roman"/>
                <w:szCs w:val="21"/>
              </w:rPr>
              <w:t>数字化资源建设</w:t>
            </w:r>
            <w:r>
              <w:rPr>
                <w:rFonts w:hint="eastAsia" w:ascii="宋体" w:hAnsi="宋体" w:cs="宋体"/>
                <w:bCs/>
                <w:szCs w:val="21"/>
              </w:rPr>
              <w:t>。具体详见竞争性磋商文件第三章采购需求。</w:t>
            </w:r>
          </w:p>
        </w:tc>
      </w:tr>
      <w:tr w14:paraId="0EB3C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51C16E44">
            <w:pPr>
              <w:widowControl/>
              <w:spacing w:line="360" w:lineRule="auto"/>
              <w:jc w:val="center"/>
              <w:rPr>
                <w:rFonts w:ascii="宋体" w:hAnsi="宋体" w:cs="宋体"/>
                <w:szCs w:val="21"/>
              </w:rPr>
            </w:pPr>
            <w:r>
              <w:rPr>
                <w:rFonts w:hint="eastAsia" w:ascii="宋体" w:hAnsi="宋体" w:cs="宋体"/>
                <w:szCs w:val="21"/>
              </w:rPr>
              <w:t>3</w:t>
            </w:r>
          </w:p>
        </w:tc>
        <w:tc>
          <w:tcPr>
            <w:tcW w:w="1946" w:type="dxa"/>
            <w:tcBorders>
              <w:top w:val="single" w:color="auto" w:sz="4" w:space="0"/>
              <w:left w:val="single" w:color="auto" w:sz="4" w:space="0"/>
              <w:bottom w:val="single" w:color="auto" w:sz="4" w:space="0"/>
              <w:right w:val="single" w:color="auto" w:sz="4" w:space="0"/>
            </w:tcBorders>
            <w:vAlign w:val="center"/>
          </w:tcPr>
          <w:p w14:paraId="5874A300">
            <w:pPr>
              <w:spacing w:line="360" w:lineRule="auto"/>
              <w:jc w:val="center"/>
              <w:rPr>
                <w:rFonts w:ascii="宋体" w:hAnsi="宋体"/>
                <w:szCs w:val="21"/>
              </w:rPr>
            </w:pPr>
            <w:r>
              <w:rPr>
                <w:rFonts w:hint="eastAsia" w:ascii="宋体" w:hAnsi="宋体" w:eastAsia="Times New Roman" w:cs="仿宋_GB2312"/>
                <w:szCs w:val="21"/>
              </w:rPr>
              <w:t>电商谷虚拟仿真研学基地</w:t>
            </w:r>
            <w:r>
              <w:rPr>
                <w:rFonts w:hint="eastAsia" w:ascii="宋体" w:hAnsi="宋体" w:eastAsia="Times New Roman"/>
                <w:szCs w:val="21"/>
              </w:rPr>
              <w:t>数字化资源建设</w:t>
            </w:r>
          </w:p>
        </w:tc>
        <w:tc>
          <w:tcPr>
            <w:tcW w:w="923" w:type="dxa"/>
            <w:tcBorders>
              <w:top w:val="single" w:color="auto" w:sz="4" w:space="0"/>
              <w:left w:val="single" w:color="auto" w:sz="4" w:space="0"/>
              <w:bottom w:val="single" w:color="auto" w:sz="4" w:space="0"/>
              <w:right w:val="single" w:color="auto" w:sz="4" w:space="0"/>
            </w:tcBorders>
            <w:vAlign w:val="center"/>
          </w:tcPr>
          <w:p w14:paraId="015E4F02">
            <w:pPr>
              <w:spacing w:line="360" w:lineRule="auto"/>
              <w:jc w:val="center"/>
              <w:rPr>
                <w:rFonts w:ascii="宋体" w:hAnsi="宋体" w:cs="宋体"/>
                <w:szCs w:val="21"/>
              </w:rPr>
            </w:pPr>
            <w:r>
              <w:rPr>
                <w:rFonts w:hint="eastAsia" w:ascii="宋体" w:hAnsi="宋体" w:cs="宋体"/>
                <w:szCs w:val="21"/>
              </w:rPr>
              <w:t>1项</w:t>
            </w:r>
          </w:p>
        </w:tc>
        <w:tc>
          <w:tcPr>
            <w:tcW w:w="6507" w:type="dxa"/>
            <w:tcBorders>
              <w:top w:val="single" w:color="auto" w:sz="4" w:space="0"/>
              <w:left w:val="single" w:color="auto" w:sz="4" w:space="0"/>
              <w:bottom w:val="single" w:color="auto" w:sz="4" w:space="0"/>
              <w:right w:val="single" w:color="auto" w:sz="4" w:space="0"/>
            </w:tcBorders>
            <w:vAlign w:val="center"/>
          </w:tcPr>
          <w:p w14:paraId="6EC6DA28">
            <w:pPr>
              <w:spacing w:line="360" w:lineRule="auto"/>
              <w:jc w:val="left"/>
              <w:rPr>
                <w:rFonts w:ascii="宋体" w:hAnsi="宋体"/>
                <w:szCs w:val="21"/>
              </w:rPr>
            </w:pPr>
            <w:r>
              <w:rPr>
                <w:rFonts w:hint="eastAsia" w:ascii="宋体" w:hAnsi="宋体" w:eastAsia="Times New Roman" w:cs="仿宋_GB2312"/>
                <w:szCs w:val="21"/>
              </w:rPr>
              <w:t>电商谷虚拟仿真研学基地</w:t>
            </w:r>
            <w:r>
              <w:rPr>
                <w:rFonts w:hint="eastAsia" w:ascii="宋体" w:hAnsi="宋体" w:eastAsia="Times New Roman"/>
                <w:szCs w:val="21"/>
              </w:rPr>
              <w:t>数字化资源建设</w:t>
            </w:r>
            <w:r>
              <w:rPr>
                <w:rFonts w:hint="eastAsia" w:ascii="宋体" w:hAnsi="宋体" w:cs="宋体"/>
                <w:bCs/>
                <w:szCs w:val="21"/>
              </w:rPr>
              <w:t>。具体详见竞争性磋商文件第三章采购需求。</w:t>
            </w:r>
          </w:p>
        </w:tc>
      </w:tr>
      <w:tr w14:paraId="3CE76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7EFB7F03">
            <w:pPr>
              <w:widowControl/>
              <w:spacing w:line="360" w:lineRule="auto"/>
              <w:jc w:val="center"/>
              <w:rPr>
                <w:rFonts w:ascii="宋体" w:hAnsi="宋体" w:cs="宋体"/>
                <w:szCs w:val="21"/>
              </w:rPr>
            </w:pPr>
            <w:r>
              <w:rPr>
                <w:rFonts w:hint="eastAsia" w:ascii="宋体" w:hAnsi="宋体" w:cs="宋体"/>
                <w:szCs w:val="21"/>
              </w:rPr>
              <w:t>4</w:t>
            </w:r>
          </w:p>
        </w:tc>
        <w:tc>
          <w:tcPr>
            <w:tcW w:w="1946" w:type="dxa"/>
            <w:tcBorders>
              <w:top w:val="single" w:color="auto" w:sz="4" w:space="0"/>
              <w:left w:val="single" w:color="auto" w:sz="4" w:space="0"/>
              <w:bottom w:val="single" w:color="auto" w:sz="4" w:space="0"/>
              <w:right w:val="single" w:color="auto" w:sz="4" w:space="0"/>
            </w:tcBorders>
            <w:vAlign w:val="center"/>
          </w:tcPr>
          <w:p w14:paraId="128685F6">
            <w:pPr>
              <w:spacing w:line="360" w:lineRule="auto"/>
              <w:jc w:val="left"/>
              <w:rPr>
                <w:rFonts w:ascii="宋体" w:hAnsi="宋体" w:eastAsia="Times New Roman" w:cs="仿宋_GB2312"/>
                <w:color w:val="auto"/>
                <w:szCs w:val="21"/>
              </w:rPr>
            </w:pPr>
            <w:r>
              <w:rPr>
                <w:rFonts w:hint="eastAsia" w:ascii="宋体" w:hAnsi="宋体" w:eastAsia="Times New Roman" w:cs="仿宋_GB2312"/>
                <w:color w:val="auto"/>
                <w:szCs w:val="21"/>
              </w:rPr>
              <w:t>网店推广职业技能等级认定培训资源包</w:t>
            </w:r>
          </w:p>
        </w:tc>
        <w:tc>
          <w:tcPr>
            <w:tcW w:w="923" w:type="dxa"/>
            <w:tcBorders>
              <w:top w:val="single" w:color="auto" w:sz="4" w:space="0"/>
              <w:left w:val="single" w:color="auto" w:sz="4" w:space="0"/>
              <w:bottom w:val="single" w:color="auto" w:sz="4" w:space="0"/>
              <w:right w:val="single" w:color="auto" w:sz="4" w:space="0"/>
            </w:tcBorders>
            <w:vAlign w:val="center"/>
          </w:tcPr>
          <w:p w14:paraId="0B5ED293">
            <w:pPr>
              <w:spacing w:line="360" w:lineRule="auto"/>
              <w:ind w:firstLine="210" w:firstLineChars="100"/>
              <w:jc w:val="left"/>
              <w:rPr>
                <w:rFonts w:ascii="宋体" w:hAnsi="宋体" w:eastAsia="Times New Roman" w:cs="仿宋_GB2312"/>
                <w:color w:val="auto"/>
                <w:szCs w:val="21"/>
              </w:rPr>
            </w:pPr>
            <w:r>
              <w:rPr>
                <w:rFonts w:hint="eastAsia" w:ascii="宋体" w:hAnsi="宋体" w:eastAsia="Times New Roman" w:cs="仿宋_GB2312"/>
                <w:color w:val="auto"/>
                <w:szCs w:val="21"/>
              </w:rPr>
              <w:t>1项</w:t>
            </w:r>
          </w:p>
        </w:tc>
        <w:tc>
          <w:tcPr>
            <w:tcW w:w="6507" w:type="dxa"/>
            <w:tcBorders>
              <w:top w:val="single" w:color="auto" w:sz="4" w:space="0"/>
              <w:left w:val="single" w:color="auto" w:sz="4" w:space="0"/>
              <w:bottom w:val="single" w:color="auto" w:sz="4" w:space="0"/>
              <w:right w:val="single" w:color="auto" w:sz="4" w:space="0"/>
            </w:tcBorders>
            <w:vAlign w:val="center"/>
          </w:tcPr>
          <w:p w14:paraId="5D589CE5">
            <w:pPr>
              <w:spacing w:line="360" w:lineRule="auto"/>
              <w:jc w:val="left"/>
              <w:rPr>
                <w:rFonts w:ascii="宋体" w:hAnsi="宋体" w:eastAsia="Times New Roman" w:cs="仿宋_GB2312"/>
                <w:color w:val="auto"/>
                <w:szCs w:val="21"/>
              </w:rPr>
            </w:pPr>
            <w:r>
              <w:rPr>
                <w:rFonts w:hint="eastAsia" w:ascii="宋体" w:hAnsi="宋体" w:eastAsia="Times New Roman" w:cs="仿宋_GB2312"/>
                <w:color w:val="auto"/>
                <w:szCs w:val="21"/>
              </w:rPr>
              <w:t>网店推广职业技能等级认定培训资源包建设。具体详见竞争性磋商文件第三章采购需求</w:t>
            </w:r>
          </w:p>
        </w:tc>
      </w:tr>
    </w:tbl>
    <w:p w14:paraId="43B9888E">
      <w:pPr>
        <w:adjustRightInd w:val="0"/>
        <w:snapToGrid w:val="0"/>
        <w:spacing w:line="400" w:lineRule="exact"/>
        <w:ind w:firstLine="420" w:firstLineChars="200"/>
        <w:jc w:val="left"/>
        <w:rPr>
          <w:rFonts w:ascii="宋体" w:hAnsi="宋体"/>
          <w:szCs w:val="21"/>
        </w:rPr>
      </w:pPr>
    </w:p>
    <w:p w14:paraId="2508D39F">
      <w:pPr>
        <w:adjustRightInd w:val="0"/>
        <w:snapToGrid w:val="0"/>
        <w:spacing w:line="400" w:lineRule="exact"/>
        <w:ind w:firstLine="420" w:firstLineChars="200"/>
        <w:jc w:val="left"/>
        <w:rPr>
          <w:rFonts w:ascii="宋体" w:hAnsi="Courier New"/>
          <w:szCs w:val="21"/>
        </w:rPr>
      </w:pPr>
      <w:r>
        <w:rPr>
          <w:rFonts w:hint="eastAsia" w:ascii="宋体" w:hAnsi="宋体"/>
          <w:szCs w:val="21"/>
        </w:rPr>
        <w:t>7.合同履行期限：自签订合同之日起15日历日内并交付使用</w:t>
      </w:r>
      <w:r>
        <w:rPr>
          <w:rFonts w:hint="eastAsia" w:ascii="宋体" w:hAnsi="Courier New"/>
          <w:szCs w:val="21"/>
        </w:rPr>
        <w:t>。</w:t>
      </w:r>
    </w:p>
    <w:p w14:paraId="7F97770E">
      <w:pPr>
        <w:snapToGrid w:val="0"/>
        <w:spacing w:line="420" w:lineRule="exact"/>
        <w:ind w:firstLine="420" w:firstLineChars="200"/>
        <w:rPr>
          <w:rFonts w:ascii="宋体" w:hAnsi="宋体"/>
          <w:szCs w:val="21"/>
        </w:rPr>
      </w:pPr>
      <w:r>
        <w:rPr>
          <w:rFonts w:ascii="宋体" w:hAnsi="宋体"/>
          <w:szCs w:val="21"/>
        </w:rPr>
        <w:t>8.</w:t>
      </w:r>
      <w:r>
        <w:rPr>
          <w:rFonts w:hint="eastAsia" w:ascii="宋体" w:hAnsi="宋体"/>
          <w:szCs w:val="21"/>
        </w:rPr>
        <w:t>本项目不接受联合体竞标。</w:t>
      </w:r>
    </w:p>
    <w:p w14:paraId="6411D819">
      <w:pPr>
        <w:pStyle w:val="3"/>
        <w:spacing w:line="400" w:lineRule="exact"/>
        <w:ind w:firstLine="482" w:firstLineChars="200"/>
        <w:jc w:val="left"/>
        <w:rPr>
          <w:rFonts w:ascii="黑体" w:hAnsi="黑体" w:eastAsia="黑体" w:cs="宋体"/>
          <w:bCs w:val="0"/>
          <w:sz w:val="24"/>
          <w:szCs w:val="24"/>
        </w:rPr>
      </w:pPr>
      <w:bookmarkStart w:id="17" w:name="_Toc28359090"/>
      <w:bookmarkStart w:id="18" w:name="_Toc136592392"/>
      <w:bookmarkStart w:id="19" w:name="_Toc44229879"/>
      <w:bookmarkStart w:id="20" w:name="_Toc35393630"/>
      <w:bookmarkStart w:id="21" w:name="_Toc73549980"/>
      <w:bookmarkStart w:id="22" w:name="_Toc28359013"/>
      <w:bookmarkStart w:id="23" w:name="_Toc35393799"/>
      <w:r>
        <w:rPr>
          <w:rFonts w:hint="eastAsia" w:ascii="黑体" w:hAnsi="黑体" w:eastAsia="黑体" w:cs="宋体"/>
          <w:bCs w:val="0"/>
          <w:sz w:val="24"/>
          <w:szCs w:val="24"/>
        </w:rPr>
        <w:t>二、申请人的资格要求：</w:t>
      </w:r>
      <w:bookmarkEnd w:id="17"/>
      <w:bookmarkEnd w:id="18"/>
      <w:bookmarkEnd w:id="19"/>
      <w:bookmarkEnd w:id="20"/>
      <w:bookmarkEnd w:id="21"/>
      <w:bookmarkEnd w:id="22"/>
      <w:bookmarkEnd w:id="23"/>
    </w:p>
    <w:p w14:paraId="726B9B45">
      <w:pPr>
        <w:widowControl/>
        <w:adjustRightInd w:val="0"/>
        <w:snapToGrid w:val="0"/>
        <w:spacing w:line="400" w:lineRule="exact"/>
        <w:ind w:firstLine="420" w:firstLineChars="200"/>
        <w:jc w:val="left"/>
        <w:rPr>
          <w:rFonts w:ascii="宋体" w:hAnsi="宋体" w:cs="宋体"/>
          <w:lang w:bidi="ar"/>
        </w:rPr>
      </w:pPr>
      <w:bookmarkStart w:id="24" w:name="_Toc44229880"/>
      <w:bookmarkStart w:id="25" w:name="_Toc28359014"/>
      <w:bookmarkStart w:id="26" w:name="_Toc28359091"/>
      <w:bookmarkStart w:id="27" w:name="_Toc35393631"/>
      <w:bookmarkStart w:id="28" w:name="_Toc35393800"/>
      <w:r>
        <w:rPr>
          <w:rFonts w:hint="eastAsia" w:ascii="宋体" w:hAnsi="宋体" w:cs="宋体"/>
          <w:lang w:bidi="ar"/>
        </w:rPr>
        <w:t>1.满足《中华人民共和国政府采购法》第二十二条规定；</w:t>
      </w:r>
    </w:p>
    <w:p w14:paraId="07952612">
      <w:pPr>
        <w:widowControl/>
        <w:adjustRightInd w:val="0"/>
        <w:snapToGrid w:val="0"/>
        <w:spacing w:line="400" w:lineRule="exact"/>
        <w:ind w:firstLine="420" w:firstLineChars="200"/>
        <w:jc w:val="left"/>
        <w:rPr>
          <w:rFonts w:ascii="宋体" w:hAnsi="宋体" w:cs="宋体"/>
          <w:lang w:bidi="ar"/>
        </w:rPr>
      </w:pPr>
      <w:r>
        <w:rPr>
          <w:rFonts w:hint="eastAsia" w:ascii="宋体" w:hAnsi="宋体" w:cs="宋体"/>
          <w:lang w:bidi="ar"/>
        </w:rPr>
        <w:t>2.落实政府采购政</w:t>
      </w:r>
      <w:r>
        <w:rPr>
          <w:rFonts w:hint="eastAsia" w:ascii="宋体" w:hAnsi="宋体"/>
          <w:szCs w:val="21"/>
        </w:rPr>
        <w:t>策需满足的资格要求：无</w:t>
      </w:r>
    </w:p>
    <w:p w14:paraId="3B85FDC6">
      <w:pPr>
        <w:widowControl/>
        <w:adjustRightInd w:val="0"/>
        <w:snapToGrid w:val="0"/>
        <w:spacing w:line="400" w:lineRule="exact"/>
        <w:ind w:firstLine="420" w:firstLineChars="200"/>
        <w:jc w:val="left"/>
        <w:rPr>
          <w:rFonts w:ascii="宋体" w:hAnsi="宋体" w:cs="宋体"/>
          <w:lang w:bidi="ar"/>
        </w:rPr>
      </w:pPr>
      <w:r>
        <w:rPr>
          <w:rFonts w:hint="eastAsia" w:ascii="宋体" w:hAnsi="宋体" w:cs="宋体"/>
          <w:lang w:bidi="ar"/>
        </w:rPr>
        <w:t>3.本项目的特定资格要求：无</w:t>
      </w:r>
    </w:p>
    <w:p w14:paraId="4C90B4A8">
      <w:pPr>
        <w:widowControl/>
        <w:adjustRightInd w:val="0"/>
        <w:snapToGrid w:val="0"/>
        <w:spacing w:line="400" w:lineRule="exact"/>
        <w:ind w:firstLine="420" w:firstLineChars="200"/>
        <w:jc w:val="left"/>
        <w:rPr>
          <w:rFonts w:ascii="宋体" w:hAnsi="宋体" w:cs="宋体"/>
          <w:lang w:bidi="ar"/>
        </w:rPr>
      </w:pPr>
      <w:r>
        <w:rPr>
          <w:rFonts w:hint="eastAsia" w:ascii="宋体" w:hAnsi="宋体" w:cs="宋体"/>
          <w:lang w:bidi="ar"/>
        </w:rPr>
        <w:t>4.单位负责人为同一人或者存在控股、管理关系的不同单位，不得参加同一合同项下的采购活动。</w:t>
      </w:r>
    </w:p>
    <w:p w14:paraId="40FB6DFF">
      <w:pPr>
        <w:widowControl/>
        <w:adjustRightInd w:val="0"/>
        <w:snapToGrid w:val="0"/>
        <w:spacing w:line="400" w:lineRule="exact"/>
        <w:ind w:firstLine="420" w:firstLineChars="200"/>
        <w:jc w:val="left"/>
        <w:rPr>
          <w:rFonts w:ascii="宋体" w:hAnsi="宋体" w:cs="宋体"/>
          <w:lang w:bidi="ar"/>
        </w:rPr>
      </w:pPr>
      <w:r>
        <w:rPr>
          <w:rFonts w:hint="eastAsia" w:ascii="宋体" w:hAnsi="宋体" w:cs="宋体"/>
          <w:lang w:bidi="ar"/>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采购活动。</w:t>
      </w:r>
    </w:p>
    <w:p w14:paraId="4625D44D">
      <w:pPr>
        <w:widowControl/>
        <w:adjustRightInd w:val="0"/>
        <w:snapToGrid w:val="0"/>
        <w:spacing w:line="400" w:lineRule="exact"/>
        <w:ind w:firstLine="420" w:firstLineChars="200"/>
        <w:jc w:val="left"/>
        <w:rPr>
          <w:rFonts w:ascii="宋体" w:hAnsi="宋体" w:cs="宋体"/>
          <w:lang w:bidi="ar"/>
        </w:rPr>
      </w:pPr>
      <w:r>
        <w:rPr>
          <w:rFonts w:hint="eastAsia" w:ascii="宋体" w:hAnsi="宋体" w:cs="宋体"/>
          <w:lang w:bidi="ar"/>
        </w:rPr>
        <w:t>6.本项目不接受未购买本磋商文件的供应商参加磋商。</w:t>
      </w:r>
    </w:p>
    <w:p w14:paraId="20C72349">
      <w:pPr>
        <w:widowControl/>
        <w:adjustRightInd w:val="0"/>
        <w:snapToGrid w:val="0"/>
        <w:spacing w:line="400" w:lineRule="exact"/>
        <w:ind w:firstLine="420" w:firstLineChars="200"/>
        <w:jc w:val="left"/>
      </w:pPr>
      <w:r>
        <w:rPr>
          <w:rFonts w:hint="eastAsia" w:ascii="宋体" w:hAnsi="宋体" w:cs="宋体"/>
          <w:lang w:bidi="ar"/>
        </w:rPr>
        <w:t xml:space="preserve">7.本项目不接受联合体磋商。  </w:t>
      </w:r>
    </w:p>
    <w:p w14:paraId="0CC836B5">
      <w:pPr>
        <w:pStyle w:val="3"/>
        <w:spacing w:line="400" w:lineRule="exact"/>
        <w:ind w:firstLine="482" w:firstLineChars="200"/>
        <w:jc w:val="left"/>
        <w:rPr>
          <w:rFonts w:ascii="黑体" w:hAnsi="黑体" w:eastAsia="黑体" w:cs="宋体"/>
          <w:bCs w:val="0"/>
          <w:sz w:val="24"/>
          <w:szCs w:val="24"/>
        </w:rPr>
      </w:pPr>
      <w:bookmarkStart w:id="29" w:name="_Toc136592393"/>
      <w:bookmarkStart w:id="30" w:name="_Toc73549981"/>
      <w:r>
        <w:rPr>
          <w:rFonts w:hint="eastAsia" w:ascii="黑体" w:hAnsi="黑体" w:eastAsia="黑体" w:cs="宋体"/>
          <w:bCs w:val="0"/>
          <w:sz w:val="24"/>
          <w:szCs w:val="24"/>
        </w:rPr>
        <w:t>三、获取采购文件</w:t>
      </w:r>
      <w:bookmarkEnd w:id="24"/>
      <w:bookmarkEnd w:id="25"/>
      <w:bookmarkEnd w:id="26"/>
      <w:bookmarkEnd w:id="27"/>
      <w:bookmarkEnd w:id="28"/>
      <w:bookmarkEnd w:id="29"/>
      <w:bookmarkEnd w:id="30"/>
    </w:p>
    <w:p w14:paraId="3EF5E335">
      <w:pPr>
        <w:snapToGrid w:val="0"/>
        <w:spacing w:line="400" w:lineRule="exact"/>
        <w:ind w:firstLine="420" w:firstLineChars="200"/>
        <w:rPr>
          <w:rFonts w:ascii="宋体" w:hAnsi="宋体"/>
          <w:szCs w:val="21"/>
        </w:rPr>
      </w:pPr>
      <w:r>
        <w:rPr>
          <w:rFonts w:hint="eastAsia" w:ascii="宋体" w:hAnsi="宋体"/>
          <w:szCs w:val="21"/>
        </w:rPr>
        <w:t>1.时间：</w:t>
      </w:r>
      <w:r>
        <w:rPr>
          <w:rFonts w:hint="eastAsia" w:ascii="宋体" w:hAnsi="宋体"/>
          <w:szCs w:val="21"/>
          <w:u w:val="single"/>
        </w:rPr>
        <w:t>2024年</w:t>
      </w:r>
      <w:r>
        <w:rPr>
          <w:rFonts w:hint="eastAsia" w:ascii="宋体" w:hAnsi="宋体"/>
          <w:szCs w:val="21"/>
          <w:u w:val="single"/>
          <w:lang w:val="en-US" w:eastAsia="zh-CN"/>
        </w:rPr>
        <w:t>11</w:t>
      </w:r>
      <w:r>
        <w:rPr>
          <w:rFonts w:hint="eastAsia" w:ascii="宋体" w:hAnsi="宋体"/>
          <w:szCs w:val="21"/>
          <w:u w:val="single"/>
        </w:rPr>
        <w:t>月</w:t>
      </w:r>
      <w:r>
        <w:rPr>
          <w:rFonts w:hint="eastAsia" w:ascii="宋体" w:hAnsi="宋体"/>
          <w:szCs w:val="21"/>
          <w:u w:val="single"/>
          <w:lang w:val="en-US" w:eastAsia="zh-CN"/>
        </w:rPr>
        <w:t>29</w:t>
      </w:r>
      <w:r>
        <w:rPr>
          <w:rFonts w:hint="eastAsia" w:ascii="宋体" w:hAnsi="宋体"/>
          <w:szCs w:val="21"/>
          <w:u w:val="single"/>
        </w:rPr>
        <w:t>日</w:t>
      </w:r>
      <w:r>
        <w:rPr>
          <w:rFonts w:hint="eastAsia" w:ascii="宋体" w:hAnsi="宋体"/>
          <w:szCs w:val="21"/>
        </w:rPr>
        <w:t>至</w:t>
      </w:r>
      <w:r>
        <w:rPr>
          <w:rFonts w:hint="eastAsia" w:ascii="宋体" w:hAnsi="宋体"/>
          <w:szCs w:val="21"/>
          <w:u w:val="single"/>
        </w:rPr>
        <w:t>2024年</w:t>
      </w:r>
      <w:r>
        <w:rPr>
          <w:rFonts w:hint="eastAsia" w:ascii="宋体" w:hAnsi="宋体"/>
          <w:szCs w:val="21"/>
          <w:u w:val="single"/>
          <w:lang w:val="en-US" w:eastAsia="zh-CN"/>
        </w:rPr>
        <w:t>12</w:t>
      </w:r>
      <w:r>
        <w:rPr>
          <w:rFonts w:hint="eastAsia" w:ascii="宋体" w:hAnsi="宋体"/>
          <w:szCs w:val="21"/>
          <w:u w:val="single"/>
        </w:rPr>
        <w:t>月</w:t>
      </w:r>
      <w:r>
        <w:rPr>
          <w:rFonts w:hint="eastAsia" w:ascii="宋体" w:hAnsi="宋体"/>
          <w:szCs w:val="21"/>
          <w:u w:val="single"/>
          <w:lang w:val="en-US" w:eastAsia="zh-CN"/>
        </w:rPr>
        <w:t>6</w:t>
      </w:r>
      <w:r>
        <w:rPr>
          <w:rFonts w:hint="eastAsia" w:ascii="宋体" w:hAnsi="宋体"/>
          <w:szCs w:val="21"/>
          <w:u w:val="single"/>
        </w:rPr>
        <w:t>日</w:t>
      </w:r>
      <w:r>
        <w:rPr>
          <w:rFonts w:hint="eastAsia" w:ascii="宋体" w:hAnsi="宋体"/>
          <w:szCs w:val="21"/>
        </w:rPr>
        <w:t>，每天上午</w:t>
      </w:r>
      <w:r>
        <w:rPr>
          <w:rFonts w:hint="eastAsia" w:ascii="宋体" w:hAnsi="宋体"/>
          <w:szCs w:val="21"/>
          <w:u w:val="single"/>
        </w:rPr>
        <w:t xml:space="preserve"> 09 点 00 分</w:t>
      </w:r>
      <w:r>
        <w:rPr>
          <w:rFonts w:hint="eastAsia" w:ascii="宋体" w:hAnsi="宋体"/>
          <w:szCs w:val="21"/>
        </w:rPr>
        <w:t>至</w:t>
      </w:r>
      <w:r>
        <w:rPr>
          <w:rFonts w:hint="eastAsia" w:ascii="宋体" w:hAnsi="宋体"/>
          <w:szCs w:val="21"/>
          <w:u w:val="single"/>
        </w:rPr>
        <w:t xml:space="preserve"> 12 点 00 分</w:t>
      </w:r>
      <w:r>
        <w:rPr>
          <w:rFonts w:hint="eastAsia" w:ascii="宋体" w:hAnsi="宋体"/>
          <w:szCs w:val="21"/>
        </w:rPr>
        <w:t>，下午</w:t>
      </w:r>
      <w:r>
        <w:rPr>
          <w:rFonts w:hint="eastAsia" w:ascii="宋体" w:hAnsi="宋体"/>
          <w:szCs w:val="21"/>
          <w:u w:val="single"/>
        </w:rPr>
        <w:t xml:space="preserve"> 15 点 00 分</w:t>
      </w:r>
      <w:r>
        <w:rPr>
          <w:rFonts w:hint="eastAsia" w:ascii="宋体" w:hAnsi="宋体"/>
          <w:szCs w:val="21"/>
        </w:rPr>
        <w:t>至</w:t>
      </w:r>
      <w:r>
        <w:rPr>
          <w:rFonts w:hint="eastAsia" w:ascii="宋体" w:hAnsi="宋体"/>
          <w:szCs w:val="21"/>
          <w:u w:val="single"/>
        </w:rPr>
        <w:t xml:space="preserve"> 18 点00分</w:t>
      </w:r>
      <w:r>
        <w:rPr>
          <w:rFonts w:hint="eastAsia" w:ascii="宋体" w:hAnsi="宋体"/>
          <w:szCs w:val="21"/>
        </w:rPr>
        <w:t>（北京时间，法定节假日除外）。</w:t>
      </w:r>
    </w:p>
    <w:p w14:paraId="0FC682EA">
      <w:pPr>
        <w:snapToGrid w:val="0"/>
        <w:spacing w:line="400" w:lineRule="exact"/>
        <w:ind w:firstLine="420" w:firstLineChars="200"/>
        <w:rPr>
          <w:rFonts w:ascii="宋体" w:hAnsi="宋体" w:cs="宋体"/>
          <w:szCs w:val="21"/>
        </w:rPr>
      </w:pPr>
      <w:r>
        <w:rPr>
          <w:rFonts w:hint="eastAsia" w:ascii="宋体" w:hAnsi="宋体" w:cs="宋体"/>
          <w:szCs w:val="21"/>
        </w:rPr>
        <w:t>2.发售地点：广西众联工程项目管理有限公司（南宁市江南区白沙大道53号松宇时代14A层）财务部</w:t>
      </w:r>
    </w:p>
    <w:p w14:paraId="53067212">
      <w:pPr>
        <w:widowControl/>
        <w:snapToGrid w:val="0"/>
        <w:spacing w:line="400" w:lineRule="exact"/>
        <w:ind w:firstLine="420" w:firstLineChars="200"/>
        <w:jc w:val="left"/>
        <w:rPr>
          <w:rFonts w:ascii="宋体" w:hAnsi="宋体" w:cs="宋体"/>
          <w:szCs w:val="21"/>
        </w:rPr>
      </w:pPr>
      <w:r>
        <w:rPr>
          <w:rFonts w:hint="eastAsia" w:ascii="宋体" w:hAnsi="宋体"/>
          <w:szCs w:val="21"/>
        </w:rPr>
        <w:t>3.方式：</w:t>
      </w: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 1 \* GB3 \* MERGEFORMAT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现场购买文件的，付款方式只接受现金付款和银行转账、接受微信付款、支付宝付款，不接受银行卡刷卡，由潜在供应商前往广西众联工程项目管理有限公司财务部购买（广西南宁市白沙大道53号松宇时代14A层）。</w:t>
      </w:r>
    </w:p>
    <w:p w14:paraId="424EC350">
      <w:pPr>
        <w:widowControl/>
        <w:snapToGrid w:val="0"/>
        <w:spacing w:line="4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 MERGEFORMAT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邮购文件的，需于发售截止时间前将标书款对公转账到采购代理机构。报名资料均须加盖单位公章，将上述材料的扫描件作为邮件附件，发送至563030153@qq.com邮箱，采购代理机构收到材料核验信息无误后，1个工作日内向供应商发送磋商报名表格，供应商填写后原邮箱返回给采购代理机构，采购代理机构审核无误后发送电子版竞争性谈判并办理纸质版竞争性谈判邮寄（邮费到付）事宜。</w:t>
      </w:r>
    </w:p>
    <w:p w14:paraId="23B807BC">
      <w:pPr>
        <w:widowControl/>
        <w:snapToGrid w:val="0"/>
        <w:spacing w:line="400" w:lineRule="exact"/>
        <w:ind w:firstLine="420" w:firstLineChars="200"/>
        <w:jc w:val="left"/>
        <w:rPr>
          <w:rFonts w:ascii="宋体" w:hAnsi="宋体" w:cs="宋体"/>
          <w:szCs w:val="21"/>
        </w:rPr>
      </w:pPr>
      <w:r>
        <w:rPr>
          <w:rFonts w:hint="eastAsia" w:ascii="宋体" w:hAnsi="宋体" w:cs="宋体"/>
          <w:szCs w:val="21"/>
        </w:rPr>
        <w:t>购买竞争性谈判的开户银行和账户：</w:t>
      </w:r>
    </w:p>
    <w:p w14:paraId="4BD5433F">
      <w:pPr>
        <w:widowControl/>
        <w:snapToGrid w:val="0"/>
        <w:spacing w:line="400" w:lineRule="exact"/>
        <w:ind w:firstLine="420" w:firstLineChars="200"/>
        <w:jc w:val="left"/>
        <w:rPr>
          <w:rFonts w:ascii="宋体" w:hAnsi="宋体" w:cs="宋体"/>
          <w:szCs w:val="21"/>
        </w:rPr>
      </w:pPr>
      <w:r>
        <w:rPr>
          <w:rFonts w:hint="eastAsia" w:ascii="宋体" w:hAnsi="宋体" w:cs="宋体"/>
          <w:szCs w:val="21"/>
        </w:rPr>
        <w:t>开户名称：广西众联工程项目管理有限公司，开户行：中国光大银行股份有限公司南宁民主支行，账号：78900188000167866。</w:t>
      </w:r>
    </w:p>
    <w:p w14:paraId="02DA5327">
      <w:pPr>
        <w:snapToGrid w:val="0"/>
        <w:spacing w:line="400" w:lineRule="exact"/>
        <w:ind w:firstLine="420" w:firstLineChars="200"/>
        <w:rPr>
          <w:rFonts w:ascii="宋体" w:hAnsi="宋体"/>
          <w:szCs w:val="21"/>
        </w:rPr>
      </w:pPr>
      <w:r>
        <w:rPr>
          <w:rFonts w:hint="eastAsia" w:ascii="宋体" w:hAnsi="宋体" w:cs="宋体"/>
          <w:szCs w:val="21"/>
        </w:rPr>
        <w:t>售价：竞争性谈判文件每套售价300元，售后不退。依据国家税务总局《关于增值税发票开具有关问题的公告》（国家税务总局公告2017年第16号）的规定，供应商在索取发票时，请提供纳税人识别号或统一社会信用代码</w:t>
      </w:r>
      <w:r>
        <w:rPr>
          <w:rFonts w:hint="eastAsia" w:ascii="宋体" w:hAnsi="宋体"/>
          <w:szCs w:val="21"/>
        </w:rPr>
        <w:t>。</w:t>
      </w:r>
    </w:p>
    <w:p w14:paraId="34E54E55">
      <w:pPr>
        <w:pStyle w:val="3"/>
        <w:spacing w:line="400" w:lineRule="exact"/>
        <w:ind w:firstLine="482" w:firstLineChars="200"/>
        <w:jc w:val="left"/>
        <w:rPr>
          <w:rFonts w:ascii="黑体" w:hAnsi="黑体" w:eastAsia="黑体" w:cs="宋体"/>
          <w:bCs w:val="0"/>
          <w:sz w:val="24"/>
          <w:szCs w:val="24"/>
        </w:rPr>
      </w:pPr>
      <w:bookmarkStart w:id="31" w:name="_Toc35393632"/>
      <w:bookmarkStart w:id="32" w:name="_Toc73549982"/>
      <w:bookmarkStart w:id="33" w:name="_Toc28359092"/>
      <w:bookmarkStart w:id="34" w:name="_Toc35393801"/>
      <w:bookmarkStart w:id="35" w:name="_Toc136592394"/>
      <w:bookmarkStart w:id="36" w:name="_Toc44229881"/>
      <w:bookmarkStart w:id="37" w:name="_Toc28359015"/>
      <w:r>
        <w:rPr>
          <w:rFonts w:hint="eastAsia" w:ascii="黑体" w:hAnsi="黑体" w:eastAsia="黑体" w:cs="宋体"/>
          <w:bCs w:val="0"/>
          <w:sz w:val="24"/>
          <w:szCs w:val="24"/>
        </w:rPr>
        <w:t>四、响应文件提交</w:t>
      </w:r>
      <w:bookmarkEnd w:id="31"/>
      <w:bookmarkEnd w:id="32"/>
      <w:bookmarkEnd w:id="33"/>
      <w:bookmarkEnd w:id="34"/>
      <w:bookmarkEnd w:id="35"/>
      <w:bookmarkEnd w:id="36"/>
      <w:bookmarkEnd w:id="37"/>
    </w:p>
    <w:p w14:paraId="174888DD">
      <w:pPr>
        <w:snapToGrid w:val="0"/>
        <w:spacing w:line="400" w:lineRule="exact"/>
        <w:ind w:firstLine="420" w:firstLineChars="200"/>
        <w:rPr>
          <w:rFonts w:ascii="宋体" w:hAnsi="宋体"/>
          <w:bCs/>
          <w:szCs w:val="21"/>
          <w:u w:val="single"/>
        </w:rPr>
      </w:pPr>
      <w:r>
        <w:rPr>
          <w:rFonts w:hint="eastAsia" w:ascii="宋体" w:hAnsi="宋体"/>
          <w:bCs/>
          <w:szCs w:val="21"/>
        </w:rPr>
        <w:t>1</w:t>
      </w:r>
      <w:r>
        <w:rPr>
          <w:rFonts w:ascii="宋体" w:hAnsi="宋体"/>
          <w:bCs/>
          <w:szCs w:val="21"/>
        </w:rPr>
        <w:t>.</w:t>
      </w:r>
      <w:r>
        <w:rPr>
          <w:rFonts w:hint="eastAsia" w:ascii="宋体" w:hAnsi="宋体"/>
          <w:szCs w:val="21"/>
        </w:rPr>
        <w:t>首次响应文件提交截止时间：</w:t>
      </w:r>
      <w:r>
        <w:rPr>
          <w:rFonts w:hint="eastAsia" w:ascii="宋体" w:hAnsi="宋体"/>
          <w:szCs w:val="21"/>
          <w:u w:val="single"/>
        </w:rPr>
        <w:t>2024年</w:t>
      </w:r>
      <w:r>
        <w:rPr>
          <w:rFonts w:hint="eastAsia" w:ascii="宋体" w:hAnsi="宋体"/>
          <w:szCs w:val="21"/>
          <w:u w:val="single"/>
          <w:lang w:val="en-US" w:eastAsia="zh-CN"/>
        </w:rPr>
        <w:t>12</w:t>
      </w:r>
      <w:r>
        <w:rPr>
          <w:rFonts w:hint="eastAsia" w:ascii="宋体" w:hAnsi="宋体"/>
          <w:szCs w:val="21"/>
          <w:u w:val="single"/>
        </w:rPr>
        <w:t>月</w:t>
      </w:r>
      <w:r>
        <w:rPr>
          <w:rFonts w:hint="eastAsia" w:ascii="宋体" w:hAnsi="宋体"/>
          <w:szCs w:val="21"/>
          <w:u w:val="single"/>
          <w:lang w:val="en-US" w:eastAsia="zh-CN"/>
        </w:rPr>
        <w:t>10</w:t>
      </w:r>
      <w:r>
        <w:rPr>
          <w:rFonts w:hint="eastAsia" w:ascii="宋体" w:hAnsi="宋体"/>
          <w:szCs w:val="21"/>
          <w:u w:val="single"/>
        </w:rPr>
        <w:t>日</w:t>
      </w:r>
      <w:r>
        <w:rPr>
          <w:rFonts w:hint="eastAsia" w:ascii="宋体" w:hAnsi="宋体"/>
          <w:szCs w:val="21"/>
          <w:u w:val="single"/>
          <w:lang w:val="en-US" w:eastAsia="zh-CN"/>
        </w:rPr>
        <w:t>9</w:t>
      </w:r>
      <w:r>
        <w:rPr>
          <w:rFonts w:hint="eastAsia" w:ascii="宋体" w:hAnsi="宋体"/>
          <w:bCs/>
          <w:szCs w:val="21"/>
          <w:u w:val="single"/>
        </w:rPr>
        <w:t>时30分</w:t>
      </w:r>
      <w:r>
        <w:rPr>
          <w:rFonts w:hint="eastAsia" w:ascii="宋体" w:hAnsi="宋体"/>
          <w:bCs/>
          <w:szCs w:val="21"/>
        </w:rPr>
        <w:t>（北京时间）。</w:t>
      </w:r>
    </w:p>
    <w:p w14:paraId="3AB59808">
      <w:pPr>
        <w:snapToGrid w:val="0"/>
        <w:spacing w:line="400" w:lineRule="exact"/>
        <w:ind w:firstLine="420" w:firstLineChars="200"/>
        <w:rPr>
          <w:rFonts w:ascii="宋体" w:hAnsi="宋体"/>
          <w:szCs w:val="21"/>
          <w:u w:val="single"/>
        </w:rPr>
      </w:pPr>
      <w:r>
        <w:rPr>
          <w:rFonts w:hint="eastAsia" w:ascii="宋体" w:hAnsi="宋体"/>
          <w:szCs w:val="21"/>
        </w:rPr>
        <w:t>2</w:t>
      </w:r>
      <w:r>
        <w:rPr>
          <w:rFonts w:ascii="宋体" w:hAnsi="宋体"/>
          <w:szCs w:val="21"/>
        </w:rPr>
        <w:t>.</w:t>
      </w:r>
      <w:r>
        <w:rPr>
          <w:rFonts w:hint="eastAsia" w:ascii="宋体" w:hAnsi="宋体"/>
          <w:szCs w:val="21"/>
        </w:rPr>
        <w:t>首次响应文件提交地点：</w:t>
      </w:r>
      <w:r>
        <w:rPr>
          <w:rFonts w:hint="eastAsia" w:ascii="宋体" w:hAnsi="宋体" w:cs="宋体"/>
          <w:bCs/>
          <w:szCs w:val="21"/>
          <w:u w:val="single"/>
        </w:rPr>
        <w:t xml:space="preserve"> 广西众联工程项目管理有限公司（南宁市江南区白沙大道53号松宇时代14层）开标厅</w:t>
      </w:r>
      <w:r>
        <w:rPr>
          <w:rFonts w:hint="eastAsia" w:ascii="宋体" w:hAnsi="宋体" w:cs="宋体"/>
          <w:bCs/>
          <w:szCs w:val="21"/>
        </w:rPr>
        <w:t>。</w:t>
      </w:r>
    </w:p>
    <w:p w14:paraId="16800EF3">
      <w:pPr>
        <w:snapToGrid w:val="0"/>
        <w:spacing w:line="400" w:lineRule="exact"/>
        <w:ind w:firstLine="420" w:firstLineChars="200"/>
        <w:rPr>
          <w:rFonts w:ascii="宋体" w:hAnsi="宋体"/>
          <w:bCs/>
          <w:szCs w:val="21"/>
        </w:rPr>
      </w:pPr>
      <w:r>
        <w:rPr>
          <w:rFonts w:hint="eastAsia" w:ascii="宋体" w:hAnsi="宋体"/>
          <w:bCs/>
          <w:szCs w:val="21"/>
        </w:rPr>
        <w:t>注：供应商必须在首次响应文件提交截止时间前，将响应文件密封送达首次响应文件提交地点。在首次响应文件提交截止时间后送达的响应文件为无效文件，采购人、采购代理机构应当拒收。</w:t>
      </w:r>
    </w:p>
    <w:p w14:paraId="779199D1">
      <w:pPr>
        <w:pStyle w:val="3"/>
        <w:spacing w:line="400" w:lineRule="exact"/>
        <w:ind w:firstLine="482" w:firstLineChars="200"/>
        <w:jc w:val="left"/>
        <w:rPr>
          <w:rFonts w:ascii="黑体" w:hAnsi="黑体" w:eastAsia="黑体" w:cs="宋体"/>
          <w:bCs w:val="0"/>
          <w:sz w:val="24"/>
          <w:szCs w:val="24"/>
        </w:rPr>
      </w:pPr>
      <w:bookmarkStart w:id="38" w:name="_Toc28359016"/>
      <w:bookmarkStart w:id="39" w:name="_Toc28359093"/>
      <w:bookmarkStart w:id="40" w:name="_Toc35393633"/>
      <w:bookmarkStart w:id="41" w:name="_Toc35393802"/>
      <w:bookmarkStart w:id="42" w:name="_Toc44229882"/>
      <w:bookmarkStart w:id="43" w:name="_Toc73549983"/>
      <w:bookmarkStart w:id="44" w:name="_Toc136592395"/>
      <w:r>
        <w:rPr>
          <w:rFonts w:hint="eastAsia" w:ascii="黑体" w:hAnsi="黑体" w:eastAsia="黑体" w:cs="宋体"/>
          <w:bCs w:val="0"/>
          <w:sz w:val="24"/>
          <w:szCs w:val="24"/>
        </w:rPr>
        <w:t>五、开启</w:t>
      </w:r>
      <w:bookmarkEnd w:id="38"/>
      <w:bookmarkEnd w:id="39"/>
      <w:bookmarkEnd w:id="40"/>
      <w:bookmarkEnd w:id="41"/>
      <w:bookmarkEnd w:id="42"/>
      <w:bookmarkEnd w:id="43"/>
      <w:bookmarkEnd w:id="44"/>
    </w:p>
    <w:p w14:paraId="0A2C577F">
      <w:pPr>
        <w:snapToGrid w:val="0"/>
        <w:spacing w:line="400" w:lineRule="exact"/>
        <w:ind w:firstLine="420" w:firstLineChars="200"/>
        <w:rPr>
          <w:rFonts w:ascii="宋体" w:hAnsi="宋体"/>
          <w:bCs/>
          <w:szCs w:val="21"/>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szCs w:val="21"/>
          <w:u w:val="single"/>
        </w:rPr>
        <w:t>2024年</w:t>
      </w:r>
      <w:r>
        <w:rPr>
          <w:rFonts w:hint="eastAsia" w:ascii="宋体" w:hAnsi="宋体"/>
          <w:szCs w:val="21"/>
          <w:u w:val="single"/>
          <w:lang w:val="en-US" w:eastAsia="zh-CN"/>
        </w:rPr>
        <w:t>12</w:t>
      </w:r>
      <w:r>
        <w:rPr>
          <w:rFonts w:hint="eastAsia" w:ascii="宋体" w:hAnsi="宋体"/>
          <w:szCs w:val="21"/>
          <w:u w:val="single"/>
        </w:rPr>
        <w:t>月</w:t>
      </w:r>
      <w:r>
        <w:rPr>
          <w:rFonts w:hint="eastAsia" w:ascii="宋体" w:hAnsi="宋体"/>
          <w:szCs w:val="21"/>
          <w:u w:val="single"/>
          <w:lang w:val="en-US" w:eastAsia="zh-CN"/>
        </w:rPr>
        <w:t>10</w:t>
      </w:r>
      <w:r>
        <w:rPr>
          <w:rFonts w:hint="eastAsia" w:ascii="宋体" w:hAnsi="宋体"/>
          <w:szCs w:val="21"/>
          <w:u w:val="single"/>
        </w:rPr>
        <w:t>日</w:t>
      </w:r>
      <w:r>
        <w:rPr>
          <w:rFonts w:hint="eastAsia" w:ascii="宋体" w:hAnsi="宋体"/>
          <w:szCs w:val="21"/>
          <w:u w:val="single"/>
          <w:lang w:val="en-US" w:eastAsia="zh-CN"/>
        </w:rPr>
        <w:t>9</w:t>
      </w:r>
      <w:r>
        <w:rPr>
          <w:rFonts w:hint="eastAsia" w:ascii="宋体" w:hAnsi="宋体"/>
          <w:bCs/>
          <w:szCs w:val="21"/>
          <w:u w:val="single"/>
        </w:rPr>
        <w:t>时30分（北京时间）</w:t>
      </w:r>
      <w:r>
        <w:rPr>
          <w:rFonts w:hint="eastAsia" w:ascii="宋体" w:hAnsi="宋体"/>
          <w:szCs w:val="21"/>
          <w:u w:val="single"/>
        </w:rPr>
        <w:t>后</w:t>
      </w:r>
      <w:r>
        <w:rPr>
          <w:rFonts w:hint="eastAsia" w:ascii="宋体" w:hAnsi="宋体"/>
          <w:szCs w:val="21"/>
        </w:rPr>
        <w:t>。</w:t>
      </w:r>
    </w:p>
    <w:p w14:paraId="1427A602">
      <w:pPr>
        <w:snapToGrid w:val="0"/>
        <w:spacing w:line="400" w:lineRule="exact"/>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w:t>
      </w:r>
      <w:r>
        <w:rPr>
          <w:rFonts w:hint="eastAsia" w:ascii="宋体" w:hAnsi="宋体"/>
          <w:szCs w:val="21"/>
          <w:u w:val="single"/>
        </w:rPr>
        <w:t xml:space="preserve">广西众联工程项目管理有限公司（南宁市江南区白沙大道53号松宇时代14层）评标厅 </w:t>
      </w:r>
      <w:r>
        <w:rPr>
          <w:rFonts w:hint="eastAsia" w:ascii="宋体" w:hAnsi="宋体"/>
          <w:szCs w:val="21"/>
        </w:rPr>
        <w:t>。</w:t>
      </w:r>
    </w:p>
    <w:p w14:paraId="7A56AB17">
      <w:pPr>
        <w:pStyle w:val="3"/>
        <w:spacing w:line="400" w:lineRule="exact"/>
        <w:ind w:firstLine="482" w:firstLineChars="200"/>
        <w:jc w:val="left"/>
        <w:rPr>
          <w:rFonts w:ascii="黑体" w:hAnsi="黑体" w:eastAsia="黑体" w:cs="宋体"/>
          <w:bCs w:val="0"/>
          <w:sz w:val="24"/>
          <w:szCs w:val="24"/>
        </w:rPr>
      </w:pPr>
      <w:bookmarkStart w:id="45" w:name="_Toc136592396"/>
      <w:bookmarkStart w:id="46" w:name="_Toc35393634"/>
      <w:bookmarkStart w:id="47" w:name="_Toc28359094"/>
      <w:bookmarkStart w:id="48" w:name="_Toc73549984"/>
      <w:bookmarkStart w:id="49" w:name="_Toc44229883"/>
      <w:bookmarkStart w:id="50" w:name="_Toc35393803"/>
      <w:bookmarkStart w:id="51" w:name="_Toc28359017"/>
      <w:r>
        <w:rPr>
          <w:rFonts w:hint="eastAsia" w:ascii="黑体" w:hAnsi="黑体" w:eastAsia="黑体" w:cs="宋体"/>
          <w:bCs w:val="0"/>
          <w:sz w:val="24"/>
          <w:szCs w:val="24"/>
        </w:rPr>
        <w:t>六、公告期限</w:t>
      </w:r>
      <w:bookmarkEnd w:id="45"/>
      <w:bookmarkEnd w:id="46"/>
      <w:bookmarkEnd w:id="47"/>
      <w:bookmarkEnd w:id="48"/>
      <w:bookmarkEnd w:id="49"/>
      <w:bookmarkEnd w:id="50"/>
      <w:bookmarkEnd w:id="51"/>
    </w:p>
    <w:p w14:paraId="2E662A8E">
      <w:pPr>
        <w:snapToGrid w:val="0"/>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u w:val="single"/>
        </w:rPr>
        <w:t xml:space="preserve"> 3 </w:t>
      </w:r>
      <w:r>
        <w:rPr>
          <w:rFonts w:hint="eastAsia" w:ascii="宋体" w:hAnsi="宋体" w:cs="宋体"/>
          <w:kern w:val="0"/>
          <w:szCs w:val="21"/>
        </w:rPr>
        <w:t>个工作日。</w:t>
      </w:r>
    </w:p>
    <w:p w14:paraId="7F03093F">
      <w:pPr>
        <w:pStyle w:val="3"/>
        <w:spacing w:line="400" w:lineRule="exact"/>
        <w:ind w:firstLine="482" w:firstLineChars="200"/>
        <w:jc w:val="left"/>
        <w:rPr>
          <w:rFonts w:ascii="黑体" w:hAnsi="黑体" w:eastAsia="黑体" w:cs="宋体"/>
          <w:bCs w:val="0"/>
          <w:sz w:val="24"/>
          <w:szCs w:val="24"/>
        </w:rPr>
      </w:pPr>
      <w:bookmarkStart w:id="52" w:name="_Toc35393635"/>
      <w:bookmarkStart w:id="53" w:name="_Toc35393804"/>
      <w:bookmarkStart w:id="54" w:name="_Toc73549985"/>
      <w:bookmarkStart w:id="55" w:name="_Toc136592397"/>
      <w:bookmarkStart w:id="56" w:name="_Toc44229884"/>
      <w:r>
        <w:rPr>
          <w:rFonts w:hint="eastAsia" w:ascii="黑体" w:hAnsi="黑体" w:eastAsia="黑体" w:cs="宋体"/>
          <w:bCs w:val="0"/>
          <w:sz w:val="24"/>
          <w:szCs w:val="24"/>
        </w:rPr>
        <w:t>七、其他补充事宜</w:t>
      </w:r>
      <w:bookmarkEnd w:id="52"/>
      <w:bookmarkEnd w:id="53"/>
      <w:bookmarkEnd w:id="54"/>
      <w:bookmarkEnd w:id="55"/>
      <w:bookmarkEnd w:id="56"/>
    </w:p>
    <w:p w14:paraId="292AA034">
      <w:pPr>
        <w:snapToGrid w:val="0"/>
        <w:spacing w:line="400" w:lineRule="exact"/>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磋商保证金：</w:t>
      </w:r>
    </w:p>
    <w:p w14:paraId="06A730C5">
      <w:pPr>
        <w:snapToGrid w:val="0"/>
        <w:spacing w:line="400" w:lineRule="exact"/>
        <w:ind w:firstLine="420" w:firstLineChars="200"/>
        <w:rPr>
          <w:rFonts w:ascii="宋体" w:hAnsi="宋体" w:cs="宋体"/>
          <w:kern w:val="0"/>
          <w:szCs w:val="21"/>
        </w:rPr>
      </w:pPr>
      <w:r>
        <w:rPr>
          <w:rFonts w:hint="eastAsia" w:ascii="宋体" w:hAnsi="宋体" w:cs="宋体"/>
          <w:kern w:val="0"/>
          <w:szCs w:val="21"/>
        </w:rPr>
        <w:t>磋商保证金：</w:t>
      </w:r>
      <w:r>
        <w:rPr>
          <w:rFonts w:hint="eastAsia" w:ascii="宋体" w:hAnsi="宋体"/>
          <w:b/>
          <w:bCs/>
          <w:szCs w:val="21"/>
          <w:u w:val="single"/>
        </w:rPr>
        <w:t>人</w:t>
      </w:r>
      <w:r>
        <w:rPr>
          <w:rFonts w:hint="eastAsia" w:ascii="宋体" w:hAnsi="宋体" w:cs="宋体"/>
          <w:b/>
          <w:bCs/>
          <w:kern w:val="0"/>
          <w:szCs w:val="21"/>
          <w:u w:val="single"/>
        </w:rPr>
        <w:t>民币</w:t>
      </w:r>
      <w:r>
        <w:rPr>
          <w:rFonts w:hint="eastAsia" w:ascii="宋体" w:hAnsi="宋体"/>
          <w:b/>
          <w:bCs/>
          <w:szCs w:val="21"/>
          <w:u w:val="single"/>
        </w:rPr>
        <w:t>肆仟元整（4000.00元）</w:t>
      </w:r>
    </w:p>
    <w:p w14:paraId="1C0A758E">
      <w:pPr>
        <w:snapToGrid w:val="0"/>
        <w:spacing w:line="400" w:lineRule="exact"/>
        <w:ind w:firstLine="420" w:firstLineChars="200"/>
        <w:rPr>
          <w:rFonts w:ascii="宋体" w:hAnsi="宋体" w:cs="宋体"/>
          <w:kern w:val="0"/>
          <w:szCs w:val="21"/>
        </w:rPr>
      </w:pPr>
      <w:r>
        <w:rPr>
          <w:rFonts w:hint="eastAsia" w:ascii="宋体" w:hAnsi="宋体" w:cs="宋体"/>
          <w:kern w:val="0"/>
          <w:szCs w:val="21"/>
        </w:rPr>
        <w:t>磋商保证金的</w:t>
      </w:r>
      <w:r>
        <w:rPr>
          <w:rFonts w:hint="eastAsia" w:ascii="宋体" w:hAnsi="宋体" w:cs="宋体"/>
          <w:szCs w:val="21"/>
        </w:rPr>
        <w:t>缴</w:t>
      </w:r>
      <w:r>
        <w:rPr>
          <w:rFonts w:hint="eastAsia" w:ascii="宋体" w:hAnsi="宋体" w:cs="宋体"/>
          <w:kern w:val="0"/>
          <w:szCs w:val="21"/>
        </w:rPr>
        <w:t>纳方式：银行转账、支票、汇票、本票或者金融机构、担保机构出具的保函等非现金形式提交。采用银行转账方式的，在首次响应文件提交截止时间前交至采购代理机构指定账户并到账。</w:t>
      </w:r>
    </w:p>
    <w:p w14:paraId="67C1CE92">
      <w:pPr>
        <w:snapToGrid w:val="0"/>
        <w:spacing w:line="400" w:lineRule="exact"/>
        <w:ind w:firstLine="420" w:firstLineChars="200"/>
        <w:rPr>
          <w:rFonts w:ascii="宋体" w:hAnsi="宋体" w:cs="宋体"/>
          <w:kern w:val="0"/>
          <w:szCs w:val="21"/>
        </w:rPr>
      </w:pPr>
      <w:r>
        <w:rPr>
          <w:rFonts w:hint="eastAsia" w:ascii="宋体" w:hAnsi="宋体" w:cs="宋体"/>
          <w:kern w:val="0"/>
          <w:szCs w:val="21"/>
        </w:rPr>
        <w:t>缴纳磋商保证金指定账户的信息：</w:t>
      </w:r>
    </w:p>
    <w:p w14:paraId="5797D76F">
      <w:pPr>
        <w:snapToGrid w:val="0"/>
        <w:spacing w:line="400" w:lineRule="exact"/>
        <w:ind w:firstLine="420" w:firstLineChars="200"/>
        <w:rPr>
          <w:rFonts w:ascii="宋体" w:hAnsi="宋体" w:cs="宋体"/>
          <w:kern w:val="0"/>
          <w:szCs w:val="21"/>
        </w:rPr>
      </w:pPr>
      <w:r>
        <w:rPr>
          <w:rFonts w:hint="eastAsia" w:ascii="宋体" w:hAnsi="宋体" w:cs="宋体"/>
          <w:kern w:val="0"/>
          <w:szCs w:val="21"/>
        </w:rPr>
        <w:t>开户名称：广西众联工程项目管理有限公司</w:t>
      </w:r>
    </w:p>
    <w:p w14:paraId="2E437522">
      <w:pPr>
        <w:snapToGrid w:val="0"/>
        <w:spacing w:line="400" w:lineRule="exact"/>
        <w:ind w:firstLine="420" w:firstLineChars="200"/>
        <w:rPr>
          <w:rFonts w:ascii="宋体" w:hAnsi="宋体" w:cs="宋体"/>
          <w:kern w:val="0"/>
          <w:szCs w:val="21"/>
        </w:rPr>
      </w:pPr>
      <w:r>
        <w:rPr>
          <w:rFonts w:hint="eastAsia" w:ascii="宋体" w:hAnsi="宋体" w:cs="宋体"/>
          <w:kern w:val="0"/>
          <w:szCs w:val="21"/>
        </w:rPr>
        <w:t>开户银行：中国光大银行股份有限公司南宁民主支行</w:t>
      </w:r>
    </w:p>
    <w:p w14:paraId="1BBD741B">
      <w:pPr>
        <w:snapToGrid w:val="0"/>
        <w:spacing w:line="400" w:lineRule="exact"/>
        <w:ind w:firstLine="420" w:firstLineChars="200"/>
        <w:rPr>
          <w:rFonts w:ascii="宋体" w:hAnsi="宋体" w:cs="宋体"/>
          <w:kern w:val="0"/>
          <w:szCs w:val="21"/>
        </w:rPr>
      </w:pPr>
      <w:r>
        <w:rPr>
          <w:rFonts w:hint="eastAsia" w:ascii="宋体" w:hAnsi="宋体" w:cs="宋体"/>
          <w:kern w:val="0"/>
          <w:szCs w:val="21"/>
        </w:rPr>
        <w:t>银行账号：78900188000167866</w:t>
      </w:r>
    </w:p>
    <w:p w14:paraId="15D559E2">
      <w:pPr>
        <w:snapToGrid w:val="0"/>
        <w:spacing w:line="400" w:lineRule="exact"/>
        <w:ind w:firstLine="420" w:firstLineChars="200"/>
        <w:rPr>
          <w:rFonts w:ascii="宋体" w:hAnsi="宋体" w:cs="宋体"/>
          <w:kern w:val="0"/>
          <w:szCs w:val="21"/>
        </w:rPr>
      </w:pPr>
      <w:r>
        <w:rPr>
          <w:rFonts w:hint="eastAsia" w:ascii="宋体" w:hAnsi="宋体" w:cs="宋体"/>
          <w:kern w:val="0"/>
          <w:szCs w:val="21"/>
        </w:rPr>
        <w:t>注：采用支票、汇票、本票或者保函等方式的，在首次响应文件提交截止时间前，供应商必须提交单独密封的支票、汇票、本票或者保函等原件给采购代理机构。否则视为无效磋商保证金。</w:t>
      </w:r>
    </w:p>
    <w:p w14:paraId="43D6864E">
      <w:pPr>
        <w:numPr>
          <w:ilvl w:val="0"/>
          <w:numId w:val="1"/>
        </w:numPr>
        <w:snapToGrid w:val="0"/>
        <w:spacing w:line="400" w:lineRule="exact"/>
        <w:ind w:firstLine="420" w:firstLineChars="200"/>
        <w:rPr>
          <w:rFonts w:ascii="宋体" w:hAnsi="宋体" w:cs="宋体"/>
          <w:szCs w:val="21"/>
        </w:rPr>
      </w:pPr>
      <w:r>
        <w:rPr>
          <w:rFonts w:hint="eastAsia" w:ascii="宋体" w:hAnsi="宋体" w:cs="宋体"/>
          <w:kern w:val="0"/>
          <w:szCs w:val="21"/>
        </w:rPr>
        <w:t>网上查询地址：</w:t>
      </w:r>
      <w:r>
        <w:rPr>
          <w:rFonts w:hint="eastAsia" w:ascii="宋体" w:hAnsi="宋体" w:cs="宋体"/>
          <w:szCs w:val="21"/>
        </w:rPr>
        <w:t>中国采购与招标网（http://www.chinabidding.com.cn）、广西众联工程项目管理有限公司网（http://www.gxzhonglian.cn）、广西经贸职业技术学院网（http://www.gxjmxy.com）</w:t>
      </w:r>
    </w:p>
    <w:p w14:paraId="2072DEB2">
      <w:pPr>
        <w:numPr>
          <w:ilvl w:val="0"/>
          <w:numId w:val="1"/>
        </w:numPr>
        <w:snapToGrid w:val="0"/>
        <w:spacing w:line="400" w:lineRule="exact"/>
        <w:ind w:firstLine="420" w:firstLineChars="200"/>
        <w:rPr>
          <w:rFonts w:ascii="宋体" w:hAnsi="宋体" w:cs="宋体"/>
          <w:szCs w:val="21"/>
        </w:rPr>
      </w:pPr>
      <w:r>
        <w:rPr>
          <w:rFonts w:hint="eastAsia" w:ascii="宋体" w:hAnsi="宋体" w:cs="宋体"/>
          <w:kern w:val="0"/>
          <w:szCs w:val="21"/>
        </w:rPr>
        <w:t>供应商</w:t>
      </w:r>
      <w:r>
        <w:rPr>
          <w:rFonts w:hint="eastAsia" w:ascii="宋体" w:hAnsi="宋体" w:cs="宋体"/>
          <w:szCs w:val="21"/>
        </w:rPr>
        <w:t>获取</w:t>
      </w:r>
      <w:r>
        <w:rPr>
          <w:rFonts w:hint="eastAsia" w:ascii="宋体" w:hAnsi="宋体" w:cs="宋体"/>
          <w:kern w:val="0"/>
          <w:szCs w:val="21"/>
        </w:rPr>
        <w:t>竞争性磋商文件</w:t>
      </w:r>
      <w:r>
        <w:rPr>
          <w:rFonts w:hint="eastAsia" w:ascii="宋体" w:hAnsi="宋体" w:cs="宋体"/>
          <w:szCs w:val="21"/>
        </w:rPr>
        <w:t>时务必提供准确的唯一电子邮箱， 与本项目有关的澄清或更正公告将统一发至该电子邮箱。</w:t>
      </w:r>
    </w:p>
    <w:p w14:paraId="0B8FA0A3">
      <w:pPr>
        <w:snapToGrid w:val="0"/>
        <w:spacing w:line="400" w:lineRule="exact"/>
        <w:ind w:firstLine="420"/>
        <w:jc w:val="lef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4244284">
      <w:pPr>
        <w:snapToGrid w:val="0"/>
        <w:spacing w:line="400" w:lineRule="exact"/>
        <w:ind w:firstLine="420" w:firstLineChars="200"/>
      </w:pPr>
      <w:r>
        <w:rPr>
          <w:rFonts w:hint="eastAsia" w:ascii="宋体" w:hAnsi="宋体"/>
          <w:szCs w:val="21"/>
        </w:rPr>
        <w:t>5</w:t>
      </w:r>
      <w:r>
        <w:rPr>
          <w:rFonts w:ascii="宋体" w:hAnsi="宋体"/>
          <w:szCs w:val="21"/>
        </w:rPr>
        <w:t>.</w:t>
      </w:r>
      <w:r>
        <w:rPr>
          <w:rFonts w:hint="eastAsia" w:ascii="宋体" w:hAnsi="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本次采购活动。</w:t>
      </w:r>
    </w:p>
    <w:p w14:paraId="59FB980E">
      <w:pPr>
        <w:pStyle w:val="3"/>
        <w:spacing w:line="400" w:lineRule="exact"/>
        <w:ind w:firstLine="482" w:firstLineChars="200"/>
        <w:jc w:val="left"/>
        <w:rPr>
          <w:rFonts w:ascii="黑体" w:hAnsi="黑体" w:eastAsia="黑体" w:cs="宋体"/>
          <w:bCs w:val="0"/>
          <w:sz w:val="24"/>
          <w:szCs w:val="24"/>
        </w:rPr>
      </w:pPr>
      <w:bookmarkStart w:id="57" w:name="_Toc73549986"/>
      <w:bookmarkStart w:id="58" w:name="_Toc44229885"/>
      <w:bookmarkStart w:id="59" w:name="_Toc28359095"/>
      <w:bookmarkStart w:id="60" w:name="_Toc35393805"/>
      <w:bookmarkStart w:id="61" w:name="_Toc28359018"/>
      <w:bookmarkStart w:id="62" w:name="_Toc35393636"/>
      <w:bookmarkStart w:id="63" w:name="_Toc136592398"/>
      <w:r>
        <w:rPr>
          <w:rFonts w:hint="eastAsia" w:ascii="黑体" w:hAnsi="黑体" w:eastAsia="黑体" w:cs="宋体"/>
          <w:bCs w:val="0"/>
          <w:sz w:val="24"/>
          <w:szCs w:val="24"/>
        </w:rPr>
        <w:t>八、凡对本次采购提出询问，请按</w:t>
      </w:r>
      <w:r>
        <w:rPr>
          <w:rFonts w:ascii="黑体" w:hAnsi="黑体" w:eastAsia="黑体" w:cs="宋体"/>
          <w:bCs w:val="0"/>
          <w:sz w:val="24"/>
          <w:szCs w:val="24"/>
        </w:rPr>
        <w:t>以下方式</w:t>
      </w:r>
      <w:r>
        <w:rPr>
          <w:rFonts w:hint="eastAsia" w:ascii="黑体" w:hAnsi="黑体" w:eastAsia="黑体" w:cs="宋体"/>
          <w:bCs w:val="0"/>
          <w:sz w:val="24"/>
          <w:szCs w:val="24"/>
        </w:rPr>
        <w:t>联系。</w:t>
      </w:r>
      <w:bookmarkEnd w:id="57"/>
      <w:bookmarkEnd w:id="58"/>
      <w:bookmarkEnd w:id="59"/>
      <w:bookmarkEnd w:id="60"/>
      <w:bookmarkEnd w:id="61"/>
      <w:bookmarkEnd w:id="62"/>
      <w:bookmarkEnd w:id="63"/>
    </w:p>
    <w:p w14:paraId="6390540D">
      <w:pPr>
        <w:snapToGrid w:val="0"/>
        <w:spacing w:line="400" w:lineRule="exact"/>
        <w:ind w:firstLine="420" w:firstLineChars="200"/>
        <w:rPr>
          <w:rFonts w:ascii="宋体" w:hAnsi="宋体" w:cs="宋体"/>
          <w:kern w:val="0"/>
          <w:szCs w:val="21"/>
        </w:rPr>
      </w:pPr>
      <w:bookmarkStart w:id="64" w:name="_Toc28359096"/>
      <w:bookmarkStart w:id="65" w:name="_Toc35393637"/>
      <w:bookmarkStart w:id="66" w:name="_Toc35393806"/>
      <w:bookmarkStart w:id="67" w:name="_Toc28359019"/>
      <w:r>
        <w:rPr>
          <w:rFonts w:hint="eastAsia" w:ascii="宋体" w:hAnsi="宋体" w:cs="宋体"/>
          <w:kern w:val="0"/>
          <w:szCs w:val="21"/>
        </w:rPr>
        <w:t>1.采购人信息</w:t>
      </w:r>
      <w:bookmarkEnd w:id="64"/>
      <w:bookmarkEnd w:id="65"/>
      <w:bookmarkEnd w:id="66"/>
      <w:bookmarkEnd w:id="67"/>
    </w:p>
    <w:p w14:paraId="622B891F">
      <w:pPr>
        <w:snapToGrid w:val="0"/>
        <w:spacing w:line="400" w:lineRule="exact"/>
        <w:ind w:firstLine="630" w:firstLineChars="300"/>
        <w:jc w:val="left"/>
        <w:rPr>
          <w:rFonts w:ascii="宋体" w:hAnsi="宋体"/>
          <w:szCs w:val="21"/>
        </w:rPr>
      </w:pPr>
      <w:r>
        <w:rPr>
          <w:rFonts w:hint="eastAsia" w:ascii="宋体" w:hAnsi="宋体"/>
          <w:szCs w:val="21"/>
        </w:rPr>
        <w:t>名    称：广西经贸职业技术学院</w:t>
      </w:r>
    </w:p>
    <w:p w14:paraId="4ABA5F5A">
      <w:pPr>
        <w:snapToGrid w:val="0"/>
        <w:spacing w:line="400" w:lineRule="exact"/>
        <w:ind w:firstLine="630" w:firstLineChars="300"/>
        <w:jc w:val="left"/>
        <w:rPr>
          <w:rFonts w:ascii="宋体" w:hAnsi="宋体"/>
          <w:szCs w:val="21"/>
        </w:rPr>
      </w:pPr>
      <w:r>
        <w:rPr>
          <w:rFonts w:hint="eastAsia" w:ascii="宋体" w:hAnsi="宋体"/>
          <w:szCs w:val="21"/>
        </w:rPr>
        <w:t>地    址：南宁市青秀区青山路14号</w:t>
      </w:r>
    </w:p>
    <w:p w14:paraId="17D245E4">
      <w:pPr>
        <w:snapToGrid w:val="0"/>
        <w:spacing w:line="400" w:lineRule="exact"/>
        <w:ind w:firstLine="630" w:firstLineChars="300"/>
        <w:jc w:val="left"/>
        <w:rPr>
          <w:rFonts w:ascii="宋体" w:hAnsi="宋体"/>
          <w:szCs w:val="21"/>
        </w:rPr>
      </w:pPr>
      <w:r>
        <w:rPr>
          <w:rFonts w:hint="eastAsia" w:ascii="宋体" w:hAnsi="宋体"/>
          <w:szCs w:val="21"/>
        </w:rPr>
        <w:t xml:space="preserve">联系方式： 刘老师  联系电话： 0771-5714002     </w:t>
      </w:r>
    </w:p>
    <w:p w14:paraId="13CD45DA">
      <w:pPr>
        <w:snapToGrid w:val="0"/>
        <w:spacing w:line="400" w:lineRule="exact"/>
        <w:ind w:firstLine="420" w:firstLineChars="200"/>
        <w:rPr>
          <w:rFonts w:ascii="宋体" w:hAnsi="宋体" w:cs="宋体"/>
          <w:kern w:val="0"/>
          <w:szCs w:val="21"/>
        </w:rPr>
      </w:pPr>
      <w:bookmarkStart w:id="68" w:name="_Toc35393638"/>
      <w:bookmarkStart w:id="69" w:name="_Toc28359020"/>
      <w:bookmarkStart w:id="70" w:name="_Toc28359097"/>
      <w:bookmarkStart w:id="71" w:name="_Toc35393807"/>
      <w:r>
        <w:rPr>
          <w:rFonts w:hint="eastAsia" w:ascii="宋体" w:hAnsi="宋体" w:cs="宋体"/>
          <w:kern w:val="0"/>
          <w:szCs w:val="21"/>
        </w:rPr>
        <w:t>2.采购代理机构信息</w:t>
      </w:r>
      <w:bookmarkEnd w:id="68"/>
      <w:bookmarkEnd w:id="69"/>
      <w:bookmarkEnd w:id="70"/>
      <w:bookmarkEnd w:id="71"/>
    </w:p>
    <w:p w14:paraId="0218FC6D">
      <w:pPr>
        <w:snapToGrid w:val="0"/>
        <w:spacing w:line="400" w:lineRule="exact"/>
        <w:ind w:firstLine="630" w:firstLineChars="300"/>
        <w:rPr>
          <w:rFonts w:ascii="宋体" w:hAnsi="宋体"/>
          <w:szCs w:val="21"/>
        </w:rPr>
      </w:pPr>
      <w:r>
        <w:rPr>
          <w:rFonts w:hint="eastAsia" w:ascii="宋体" w:hAnsi="宋体"/>
          <w:szCs w:val="21"/>
        </w:rPr>
        <w:t>名    称：</w:t>
      </w:r>
      <w:r>
        <w:rPr>
          <w:rFonts w:hint="eastAsia" w:ascii="宋体" w:hAnsi="宋体" w:cs="宋体"/>
          <w:szCs w:val="21"/>
        </w:rPr>
        <w:t>广西众联工程项目管理有限公司</w:t>
      </w:r>
    </w:p>
    <w:p w14:paraId="14C8AB7C">
      <w:pPr>
        <w:snapToGrid w:val="0"/>
        <w:spacing w:line="400" w:lineRule="exact"/>
        <w:ind w:firstLine="630" w:firstLineChars="300"/>
        <w:rPr>
          <w:rFonts w:ascii="宋体" w:hAnsi="宋体"/>
          <w:szCs w:val="21"/>
        </w:rPr>
      </w:pPr>
      <w:r>
        <w:rPr>
          <w:rFonts w:hint="eastAsia" w:ascii="宋体" w:hAnsi="宋体"/>
          <w:szCs w:val="21"/>
        </w:rPr>
        <w:t>地　　址：</w:t>
      </w:r>
      <w:r>
        <w:rPr>
          <w:rFonts w:hint="eastAsia" w:ascii="宋体" w:hAnsi="宋体" w:cs="宋体"/>
          <w:szCs w:val="21"/>
        </w:rPr>
        <w:t>南宁市江南区白沙大道53号松宇时代14A层</w:t>
      </w:r>
    </w:p>
    <w:p w14:paraId="6F765C36">
      <w:pPr>
        <w:snapToGrid w:val="0"/>
        <w:spacing w:line="400" w:lineRule="exact"/>
        <w:ind w:firstLine="630" w:firstLineChars="300"/>
        <w:rPr>
          <w:rFonts w:ascii="宋体" w:hAnsi="宋体"/>
          <w:szCs w:val="21"/>
          <w:u w:val="single"/>
        </w:rPr>
      </w:pPr>
      <w:r>
        <w:rPr>
          <w:rFonts w:hint="eastAsia" w:ascii="宋体" w:hAnsi="宋体"/>
          <w:szCs w:val="21"/>
        </w:rPr>
        <w:t>联系方式：</w:t>
      </w:r>
      <w:r>
        <w:rPr>
          <w:rFonts w:hint="eastAsia" w:ascii="宋体" w:hAnsi="宋体" w:cs="宋体"/>
          <w:szCs w:val="21"/>
        </w:rPr>
        <w:t xml:space="preserve">高叶法、戚程、易翠兰、李宁   </w:t>
      </w:r>
      <w:r>
        <w:rPr>
          <w:rFonts w:hint="eastAsia" w:ascii="宋体" w:hAnsi="宋体"/>
          <w:szCs w:val="21"/>
        </w:rPr>
        <w:t>联系电话：</w:t>
      </w:r>
      <w:r>
        <w:rPr>
          <w:rFonts w:hint="eastAsia" w:ascii="宋体" w:hAnsi="宋体" w:cs="宋体"/>
          <w:szCs w:val="21"/>
        </w:rPr>
        <w:t>0771-4308370</w:t>
      </w:r>
    </w:p>
    <w:p w14:paraId="214E427D">
      <w:pPr>
        <w:snapToGrid w:val="0"/>
        <w:spacing w:line="420" w:lineRule="exact"/>
        <w:ind w:firstLine="630" w:firstLineChars="300"/>
        <w:rPr>
          <w:rFonts w:ascii="宋体" w:hAnsi="宋体"/>
          <w:szCs w:val="21"/>
          <w:u w:val="single"/>
        </w:rPr>
      </w:pPr>
    </w:p>
    <w:p w14:paraId="6B71CE87">
      <w:pPr>
        <w:snapToGrid w:val="0"/>
        <w:spacing w:line="420" w:lineRule="exact"/>
        <w:jc w:val="right"/>
        <w:rPr>
          <w:rFonts w:ascii="宋体" w:hAnsi="宋体"/>
          <w:szCs w:val="21"/>
        </w:rPr>
      </w:pPr>
      <w:r>
        <w:rPr>
          <w:rFonts w:hint="eastAsia" w:ascii="宋体" w:hAnsi="宋体"/>
          <w:szCs w:val="21"/>
        </w:rPr>
        <w:t>釆购代理机构：</w:t>
      </w:r>
      <w:r>
        <w:rPr>
          <w:rFonts w:hint="eastAsia" w:ascii="宋体" w:hAnsi="宋体" w:cs="宋体"/>
          <w:szCs w:val="21"/>
        </w:rPr>
        <w:t>广西众联工程项目管理有限公司</w:t>
      </w:r>
    </w:p>
    <w:p w14:paraId="53D5E4E3">
      <w:pPr>
        <w:wordWrap w:val="0"/>
        <w:snapToGrid w:val="0"/>
        <w:spacing w:line="420" w:lineRule="exact"/>
        <w:jc w:val="center"/>
        <w:rPr>
          <w:rFonts w:ascii="宋体" w:hAnsi="宋体"/>
          <w:szCs w:val="21"/>
        </w:rPr>
      </w:pPr>
      <w:r>
        <w:rPr>
          <w:rFonts w:hint="eastAsia" w:ascii="宋体" w:hAnsi="宋体"/>
          <w:szCs w:val="21"/>
        </w:rPr>
        <w:t xml:space="preserve">                                            2024年11月</w:t>
      </w:r>
      <w:r>
        <w:rPr>
          <w:rFonts w:hint="eastAsia" w:ascii="宋体" w:hAnsi="宋体"/>
          <w:szCs w:val="21"/>
          <w:lang w:val="en-US" w:eastAsia="zh-CN"/>
        </w:rPr>
        <w:t>29</w:t>
      </w:r>
      <w:r>
        <w:rPr>
          <w:rFonts w:hint="eastAsia" w:ascii="宋体" w:hAnsi="宋体"/>
          <w:szCs w:val="21"/>
        </w:rPr>
        <w:t xml:space="preserve"> 日</w:t>
      </w:r>
      <w:bookmarkEnd w:id="9"/>
    </w:p>
    <w:p w14:paraId="6ECBC64D">
      <w:pPr>
        <w:widowControl/>
        <w:jc w:val="left"/>
      </w:pPr>
      <w:r>
        <w:br w:type="page"/>
      </w:r>
    </w:p>
    <w:p w14:paraId="19DD2DC6">
      <w:pPr>
        <w:pStyle w:val="2"/>
      </w:pPr>
      <w:bookmarkStart w:id="72" w:name="_Toc44229894"/>
      <w:bookmarkStart w:id="73" w:name="_Toc2466"/>
      <w:bookmarkStart w:id="74" w:name="_Toc136592399"/>
      <w:bookmarkStart w:id="75" w:name="_Toc73549987"/>
      <w:r>
        <w:rPr>
          <w:rFonts w:hint="eastAsia"/>
        </w:rPr>
        <w:t>第二章 供应商须知</w:t>
      </w:r>
      <w:bookmarkEnd w:id="72"/>
      <w:bookmarkEnd w:id="73"/>
      <w:bookmarkEnd w:id="74"/>
      <w:bookmarkEnd w:id="75"/>
    </w:p>
    <w:p w14:paraId="22206C5B">
      <w:pPr>
        <w:spacing w:line="400" w:lineRule="exact"/>
        <w:jc w:val="center"/>
        <w:rPr>
          <w:rFonts w:ascii="宋体" w:hAnsi="宋体"/>
          <w:b/>
          <w:sz w:val="32"/>
          <w:szCs w:val="32"/>
        </w:rPr>
      </w:pPr>
      <w:r>
        <w:rPr>
          <w:rFonts w:hint="eastAsia" w:ascii="宋体" w:hAnsi="宋体"/>
          <w:b/>
          <w:sz w:val="32"/>
          <w:szCs w:val="32"/>
        </w:rPr>
        <w:t>供应商须知前附表</w:t>
      </w:r>
    </w:p>
    <w:p w14:paraId="7D903612">
      <w:pPr>
        <w:spacing w:line="400" w:lineRule="exact"/>
        <w:jc w:val="center"/>
        <w:rPr>
          <w:rFonts w:ascii="宋体" w:hAnsi="宋体"/>
          <w:b/>
          <w:sz w:val="32"/>
          <w:szCs w:val="32"/>
        </w:rPr>
      </w:pPr>
    </w:p>
    <w:tbl>
      <w:tblPr>
        <w:tblStyle w:val="33"/>
        <w:tblW w:w="92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231"/>
      </w:tblGrid>
      <w:tr w14:paraId="46F3C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71BA30BB">
            <w:pPr>
              <w:snapToGrid w:val="0"/>
              <w:spacing w:line="42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条款号</w:t>
            </w:r>
          </w:p>
        </w:tc>
        <w:tc>
          <w:tcPr>
            <w:tcW w:w="8231" w:type="dxa"/>
          </w:tcPr>
          <w:p w14:paraId="7CAA8622">
            <w:pPr>
              <w:snapToGrid w:val="0"/>
              <w:spacing w:line="42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内    容</w:t>
            </w:r>
          </w:p>
        </w:tc>
      </w:tr>
      <w:tr w14:paraId="34684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4E81DE">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8231" w:type="dxa"/>
            <w:vAlign w:val="center"/>
          </w:tcPr>
          <w:p w14:paraId="6BA85FBA">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bCs/>
                <w:szCs w:val="21"/>
              </w:rPr>
              <w:t>供应商的资格条件</w:t>
            </w:r>
            <w:r>
              <w:rPr>
                <w:rFonts w:hint="eastAsia" w:cs="宋体" w:asciiTheme="minorEastAsia" w:hAnsiTheme="minorEastAsia" w:eastAsiaTheme="minorEastAsia"/>
                <w:szCs w:val="21"/>
              </w:rPr>
              <w:t>：详见竞争性磋商公告</w:t>
            </w:r>
          </w:p>
        </w:tc>
      </w:tr>
      <w:tr w14:paraId="68448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0568AB">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8231" w:type="dxa"/>
            <w:vAlign w:val="center"/>
          </w:tcPr>
          <w:p w14:paraId="68402000">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是否接受联合体竞标: 详见竞争性磋商公告</w:t>
            </w:r>
          </w:p>
        </w:tc>
      </w:tr>
      <w:tr w14:paraId="1BE73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BC33F0">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8231" w:type="dxa"/>
            <w:vAlign w:val="center"/>
          </w:tcPr>
          <w:p w14:paraId="2C1234BB">
            <w:pPr>
              <w:snapToGrid w:val="0"/>
              <w:spacing w:line="420" w:lineRule="exact"/>
              <w:rPr>
                <w:rFonts w:cs="宋体" w:asciiTheme="minorEastAsia" w:hAnsiTheme="minorEastAsia" w:eastAsiaTheme="minorEastAsia"/>
                <w:szCs w:val="21"/>
              </w:rPr>
            </w:pPr>
            <w:r>
              <w:rPr>
                <w:rFonts w:hint="eastAsia" w:asciiTheme="minorEastAsia" w:hAnsiTheme="minorEastAsia" w:eastAsiaTheme="minorEastAsia"/>
                <w:szCs w:val="21"/>
              </w:rPr>
              <w:t>本项目不接受联合体竞标</w:t>
            </w:r>
          </w:p>
        </w:tc>
      </w:tr>
      <w:tr w14:paraId="22AD4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5E65D1">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8231" w:type="dxa"/>
            <w:vAlign w:val="center"/>
          </w:tcPr>
          <w:p w14:paraId="39EAF08E">
            <w:pPr>
              <w:pStyle w:val="12"/>
              <w:snapToGrid w:val="0"/>
              <w:spacing w:line="420" w:lineRule="exact"/>
              <w:jc w:val="both"/>
              <w:rPr>
                <w:rFonts w:asciiTheme="minorEastAsia" w:hAnsiTheme="minorEastAsia" w:eastAsiaTheme="minorEastAsia"/>
                <w:szCs w:val="21"/>
              </w:rPr>
            </w:pPr>
            <w:r>
              <w:rPr>
                <w:rFonts w:hint="eastAsia" w:ascii="MS Mincho" w:hAnsi="MS Mincho" w:eastAsia="MS Mincho" w:cs="MS Mincho"/>
                <w:szCs w:val="21"/>
              </w:rPr>
              <w:t>☑</w:t>
            </w:r>
            <w:r>
              <w:rPr>
                <w:rFonts w:hint="eastAsia" w:ascii="宋体" w:hAnsi="宋体" w:cs="宋体"/>
                <w:szCs w:val="21"/>
              </w:rPr>
              <w:t>不允许分包</w:t>
            </w:r>
          </w:p>
          <w:p w14:paraId="53BCCCE4">
            <w:pPr>
              <w:pStyle w:val="12"/>
              <w:snapToGrid w:val="0"/>
              <w:spacing w:line="420" w:lineRule="exact"/>
              <w:jc w:val="both"/>
              <w:rPr>
                <w:rFonts w:asciiTheme="minorEastAsia" w:hAnsiTheme="minorEastAsia" w:eastAsiaTheme="minorEastAsia"/>
                <w:szCs w:val="21"/>
              </w:rPr>
            </w:pPr>
            <w:r>
              <w:rPr>
                <w:rFonts w:hint="eastAsia" w:asciiTheme="minorEastAsia" w:hAnsiTheme="minorEastAsia" w:eastAsiaTheme="minorEastAsia"/>
                <w:b/>
                <w:szCs w:val="21"/>
              </w:rPr>
              <w:t>□</w:t>
            </w:r>
            <w:r>
              <w:rPr>
                <w:rFonts w:hint="eastAsia" w:asciiTheme="minorEastAsia" w:hAnsiTheme="minorEastAsia" w:eastAsiaTheme="minorEastAsia"/>
                <w:szCs w:val="21"/>
              </w:rPr>
              <w:t>允许分包</w:t>
            </w:r>
          </w:p>
          <w:p w14:paraId="0C78DF06">
            <w:pPr>
              <w:pStyle w:val="12"/>
              <w:snapToGrid w:val="0"/>
              <w:spacing w:line="420" w:lineRule="exact"/>
              <w:jc w:val="both"/>
              <w:rPr>
                <w:rFonts w:asciiTheme="minorEastAsia" w:hAnsiTheme="minorEastAsia" w:eastAsiaTheme="minorEastAsia"/>
                <w:szCs w:val="21"/>
                <w:u w:val="single"/>
              </w:rPr>
            </w:pPr>
            <w:r>
              <w:rPr>
                <w:rFonts w:hint="eastAsia" w:asciiTheme="minorEastAsia" w:hAnsiTheme="minorEastAsia" w:eastAsiaTheme="minorEastAsia"/>
                <w:szCs w:val="21"/>
              </w:rPr>
              <w:t>分包内容：</w:t>
            </w:r>
            <w:r>
              <w:rPr>
                <w:rFonts w:hint="eastAsia" w:asciiTheme="minorEastAsia" w:hAnsiTheme="minorEastAsia" w:eastAsiaTheme="minorEastAsia"/>
                <w:szCs w:val="21"/>
                <w:u w:val="single"/>
              </w:rPr>
              <w:t>无</w:t>
            </w:r>
          </w:p>
          <w:p w14:paraId="5F7D35EE">
            <w:pPr>
              <w:pStyle w:val="12"/>
              <w:snapToGrid w:val="0"/>
              <w:spacing w:line="420" w:lineRule="exact"/>
              <w:jc w:val="both"/>
              <w:rPr>
                <w:rFonts w:cs="宋体" w:asciiTheme="minorEastAsia" w:hAnsiTheme="minorEastAsia" w:eastAsiaTheme="minorEastAsia"/>
                <w:szCs w:val="21"/>
              </w:rPr>
            </w:pPr>
            <w:r>
              <w:rPr>
                <w:rFonts w:hint="eastAsia" w:asciiTheme="minorEastAsia" w:hAnsiTheme="minorEastAsia" w:eastAsiaTheme="minorEastAsia"/>
                <w:szCs w:val="21"/>
              </w:rPr>
              <w:t>分包金额或者比例：</w:t>
            </w:r>
            <w:r>
              <w:rPr>
                <w:rFonts w:hint="eastAsia" w:asciiTheme="minorEastAsia" w:hAnsiTheme="minorEastAsia" w:eastAsiaTheme="minorEastAsia"/>
                <w:szCs w:val="21"/>
                <w:u w:val="single"/>
              </w:rPr>
              <w:t>无</w:t>
            </w:r>
          </w:p>
        </w:tc>
      </w:tr>
      <w:tr w14:paraId="03084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837FE3">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8231" w:type="dxa"/>
            <w:vAlign w:val="center"/>
          </w:tcPr>
          <w:p w14:paraId="042AF177">
            <w:pPr>
              <w:snapToGrid w:val="0"/>
              <w:spacing w:line="42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资格证明文件</w:t>
            </w:r>
          </w:p>
          <w:p w14:paraId="73079587">
            <w:pPr>
              <w:pStyle w:val="12"/>
              <w:snapToGrid w:val="0"/>
              <w:spacing w:line="420" w:lineRule="exact"/>
              <w:jc w:val="both"/>
              <w:rPr>
                <w:rFonts w:asciiTheme="minorEastAsia" w:hAnsiTheme="minorEastAsia" w:eastAsiaTheme="minorEastAsia"/>
                <w:szCs w:val="21"/>
              </w:rPr>
            </w:pPr>
            <w:r>
              <w:rPr>
                <w:rFonts w:hint="eastAsia" w:cs="宋体" w:asciiTheme="minorEastAsia" w:hAnsiTheme="minorEastAsia" w:eastAsiaTheme="minorEastAsia"/>
                <w:szCs w:val="21"/>
              </w:rPr>
              <w:t>1.供应商为法人或者其他组织的提供其营业执照等证明文件（如营业执照或者事业单位法人证书或者执业许可证等），供应商为自然人的提供其身份证复印件；</w:t>
            </w:r>
            <w:r>
              <w:rPr>
                <w:rFonts w:hint="eastAsia" w:cs="宋体" w:asciiTheme="minorEastAsia" w:hAnsiTheme="minorEastAsia" w:eastAsiaTheme="minorEastAsia"/>
                <w:b/>
                <w:szCs w:val="21"/>
              </w:rPr>
              <w:t>（必须提供，否则响应文件按无效响应处理）</w:t>
            </w:r>
          </w:p>
          <w:p w14:paraId="0696D440">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2.供应商依法缴纳税收的相关材料（2024年04月-2024年10月内任意</w:t>
            </w:r>
            <w:r>
              <w:rPr>
                <w:rFonts w:hint="eastAsia" w:cs="宋体" w:asciiTheme="minorEastAsia" w:hAnsiTheme="minorEastAsia" w:eastAsiaTheme="minorEastAsia"/>
                <w:szCs w:val="21"/>
                <w:u w:val="single"/>
              </w:rPr>
              <w:t xml:space="preserve"> 3 </w:t>
            </w:r>
            <w:r>
              <w:rPr>
                <w:rFonts w:hint="eastAsia" w:cs="宋体" w:asciiTheme="minorEastAsia" w:hAnsiTheme="minorEastAsia" w:eastAsiaTheme="minorEastAsia"/>
                <w:szCs w:val="21"/>
              </w:rPr>
              <w:t>个月的依法缴纳税收的凭据复印件；</w:t>
            </w:r>
            <w:r>
              <w:rPr>
                <w:rFonts w:hint="eastAsia" w:asciiTheme="minorEastAsia" w:hAnsiTheme="minorEastAsia" w:eastAsiaTheme="minorEastAsia"/>
                <w:szCs w:val="21"/>
              </w:rPr>
              <w:t>依法免税的供应商，必须提供相应文件证明其依法免税。</w:t>
            </w:r>
            <w:r>
              <w:rPr>
                <w:rFonts w:hint="eastAsia" w:cs="宋体" w:asciiTheme="minorEastAsia" w:hAnsiTheme="minorEastAsia" w:eastAsiaTheme="minorEastAsia"/>
                <w:szCs w:val="21"/>
              </w:rPr>
              <w:t>从取得营业执照时间起到首次响应文件提交截止时间为止不足要求月数的，只需提供从取得营业执照起的依法缴纳税收</w:t>
            </w:r>
            <w:r>
              <w:rPr>
                <w:rFonts w:hint="eastAsia" w:asciiTheme="minorEastAsia" w:hAnsiTheme="minorEastAsia" w:eastAsiaTheme="minorEastAsia"/>
                <w:szCs w:val="21"/>
              </w:rPr>
              <w:t>相应证明文件</w:t>
            </w:r>
            <w:r>
              <w:rPr>
                <w:rFonts w:hint="eastAsia" w:cs="宋体" w:asciiTheme="minorEastAsia" w:hAnsiTheme="minorEastAsia" w:eastAsiaTheme="minorEastAsia"/>
                <w:szCs w:val="21"/>
              </w:rPr>
              <w:t>）；无营业收入的行政事业单位</w:t>
            </w:r>
            <w:r>
              <w:rPr>
                <w:rFonts w:hint="eastAsia" w:asciiTheme="minorEastAsia" w:hAnsiTheme="minorEastAsia" w:eastAsiaTheme="minorEastAsia"/>
                <w:szCs w:val="21"/>
              </w:rPr>
              <w:t>且符合国家有关免税政策的，可只提供加盖单位公章的依法免税声明，并对声明的真实性负责</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（必须提供，否则响应文件按无效响应处理）</w:t>
            </w:r>
          </w:p>
          <w:p w14:paraId="245BF96F">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3.供应商依法缴纳社会保障资金的相关材料（（2024年04月-2024年10月内任意</w:t>
            </w:r>
            <w:r>
              <w:rPr>
                <w:rFonts w:hint="eastAsia" w:cs="宋体" w:asciiTheme="minorEastAsia" w:hAnsiTheme="minorEastAsia" w:eastAsiaTheme="minorEastAsia"/>
                <w:szCs w:val="21"/>
                <w:u w:val="single"/>
              </w:rPr>
              <w:t xml:space="preserve"> 3 </w:t>
            </w:r>
            <w:r>
              <w:rPr>
                <w:rFonts w:hint="eastAsia" w:cs="宋体" w:asciiTheme="minorEastAsia" w:hAnsiTheme="minorEastAsia" w:eastAsiaTheme="minorEastAsia"/>
                <w:szCs w:val="21"/>
              </w:rPr>
              <w:t>个月的依法缴纳社会保障资金的缴费凭证复印件；</w:t>
            </w:r>
            <w:r>
              <w:rPr>
                <w:rFonts w:hint="eastAsia" w:asciiTheme="minorEastAsia" w:hAnsiTheme="minorEastAsia" w:eastAsiaTheme="minorEastAsia"/>
                <w:szCs w:val="21"/>
              </w:rPr>
              <w:t>依法不需要缴纳社会保障资金的供应商，必须提供相应文件证明不需要缴纳社会保障资金；供应商</w:t>
            </w:r>
            <w:r>
              <w:rPr>
                <w:rFonts w:hint="eastAsia" w:cs="宋体" w:asciiTheme="minorEastAsia" w:hAnsiTheme="minorEastAsia" w:eastAsiaTheme="minorEastAsia"/>
                <w:szCs w:val="21"/>
              </w:rPr>
              <w:t>为个体工商户的，可提供以个人名义购买的基本养老保险等材料证明，</w:t>
            </w:r>
            <w:r>
              <w:rPr>
                <w:rFonts w:asciiTheme="minorEastAsia" w:hAnsiTheme="minorEastAsia" w:eastAsiaTheme="minorEastAsia"/>
                <w:szCs w:val="21"/>
              </w:rPr>
              <w:t>或</w:t>
            </w:r>
            <w:r>
              <w:rPr>
                <w:rFonts w:hint="eastAsia" w:cs="宋体" w:asciiTheme="minorEastAsia" w:hAnsiTheme="minorEastAsia" w:eastAsiaTheme="minorEastAsia"/>
                <w:szCs w:val="21"/>
              </w:rPr>
              <w:t>供应商已依法按时缴纳社会保障资金的承诺书</w:t>
            </w:r>
            <w:r>
              <w:rPr>
                <w:rFonts w:hint="eastAsia" w:asciiTheme="minorEastAsia" w:hAnsiTheme="minorEastAsia" w:eastAsiaTheme="minorEastAsia"/>
                <w:szCs w:val="21"/>
              </w:rPr>
              <w:t>。</w:t>
            </w:r>
            <w:r>
              <w:rPr>
                <w:rFonts w:hint="eastAsia" w:cs="宋体" w:asciiTheme="minorEastAsia" w:hAnsiTheme="minorEastAsia" w:eastAsiaTheme="minorEastAsia"/>
                <w:szCs w:val="21"/>
              </w:rPr>
              <w:t>从取得营业执照时间起到首次响应文件提交截止时间为止不足要求月数的只需提供从取得营业执照起的依法缴纳社会保障资金的</w:t>
            </w:r>
            <w:r>
              <w:rPr>
                <w:rFonts w:hint="eastAsia" w:asciiTheme="minorEastAsia" w:hAnsiTheme="minorEastAsia" w:eastAsiaTheme="minorEastAsia"/>
                <w:szCs w:val="21"/>
              </w:rPr>
              <w:t>相应证明文件</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（必须提供，否则响应文件按无效响应处理）</w:t>
            </w:r>
          </w:p>
          <w:p w14:paraId="76E5FD83">
            <w:pPr>
              <w:snapToGrid w:val="0"/>
              <w:spacing w:line="420" w:lineRule="exact"/>
              <w:rPr>
                <w:rFonts w:cs="宋体" w:asciiTheme="minorEastAsia" w:hAnsiTheme="minorEastAsia" w:eastAsiaTheme="minorEastAsia"/>
                <w:b/>
                <w:szCs w:val="21"/>
              </w:rPr>
            </w:pPr>
            <w:r>
              <w:rPr>
                <w:rFonts w:hint="eastAsia" w:cs="宋体" w:asciiTheme="minorEastAsia" w:hAnsiTheme="minorEastAsia" w:eastAsiaTheme="minorEastAsia"/>
                <w:szCs w:val="21"/>
              </w:rPr>
              <w:t>4.供应商财务状况报告（提供</w:t>
            </w:r>
            <w:r>
              <w:rPr>
                <w:rFonts w:hint="eastAsia" w:cs="宋体" w:asciiTheme="minorEastAsia" w:hAnsiTheme="minorEastAsia" w:eastAsiaTheme="minorEastAsia"/>
                <w:szCs w:val="21"/>
                <w:u w:val="single"/>
              </w:rPr>
              <w:t>2023年度</w:t>
            </w:r>
            <w:r>
              <w:rPr>
                <w:rFonts w:hint="eastAsia" w:cs="宋体" w:asciiTheme="minorEastAsia" w:hAnsiTheme="minorEastAsia" w:eastAsiaTheme="minorEastAsia"/>
                <w:szCs w:val="21"/>
              </w:rPr>
              <w:t>的财务报告复印件、或者截标时间前半年内至少一个月能反映财务状况的报表、或者供应商自拟的截标时间前半年内至少一个月的财务情况说明）；</w:t>
            </w:r>
            <w:r>
              <w:rPr>
                <w:rFonts w:hint="eastAsia" w:cs="宋体" w:asciiTheme="minorEastAsia" w:hAnsiTheme="minorEastAsia" w:eastAsiaTheme="minorEastAsia"/>
                <w:b/>
                <w:bCs/>
                <w:szCs w:val="21"/>
              </w:rPr>
              <w:t>（</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b/>
                <w:bCs/>
                <w:szCs w:val="21"/>
              </w:rPr>
              <w:t>）</w:t>
            </w:r>
          </w:p>
          <w:p w14:paraId="51F9DB8C">
            <w:pPr>
              <w:snapToGrid w:val="0"/>
              <w:spacing w:line="420" w:lineRule="exact"/>
              <w:rPr>
                <w:rFonts w:asciiTheme="minorEastAsia" w:hAnsiTheme="minorEastAsia" w:eastAsiaTheme="minorEastAsia"/>
                <w:b/>
                <w:szCs w:val="21"/>
              </w:rPr>
            </w:pPr>
            <w:r>
              <w:rPr>
                <w:rFonts w:hint="eastAsia" w:cs="宋体" w:asciiTheme="minorEastAsia" w:hAnsiTheme="minorEastAsia" w:eastAsiaTheme="minorEastAsia"/>
                <w:szCs w:val="21"/>
              </w:rPr>
              <w:t>5.本项目的特定资格要求：无；</w:t>
            </w:r>
          </w:p>
          <w:p w14:paraId="3289B3BD">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6.竞标声明（格式后附）；</w:t>
            </w:r>
            <w:r>
              <w:rPr>
                <w:rFonts w:hint="eastAsia" w:cs="宋体" w:asciiTheme="minorEastAsia" w:hAnsiTheme="minorEastAsia" w:eastAsiaTheme="minorEastAsia"/>
                <w:b/>
                <w:szCs w:val="21"/>
              </w:rPr>
              <w:t>（必须提供，否则响应文件按无效响应处理）</w:t>
            </w:r>
          </w:p>
          <w:p w14:paraId="50B11B7E">
            <w:pPr>
              <w:snapToGrid w:val="0"/>
              <w:spacing w:line="420" w:lineRule="exact"/>
              <w:rPr>
                <w:rFonts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.联合体竞标协议书（格式后附）；</w:t>
            </w:r>
            <w:r>
              <w:rPr>
                <w:rFonts w:hint="eastAsia" w:cs="宋体" w:asciiTheme="minorEastAsia" w:hAnsiTheme="minorEastAsia" w:eastAsiaTheme="minorEastAsia"/>
                <w:b/>
                <w:szCs w:val="21"/>
              </w:rPr>
              <w:t>（联合体竞标时必须提供，否则响应文件按无效响应处理）</w:t>
            </w:r>
          </w:p>
          <w:p w14:paraId="2C42A558">
            <w:pPr>
              <w:snapToGrid w:val="0"/>
              <w:spacing w:line="420" w:lineRule="exact"/>
              <w:rPr>
                <w:rFonts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.中小企业声明函或者残疾人福利性单位声明函或者供应商属于监狱企业的证明材料（格式后附）；</w:t>
            </w:r>
            <w:r>
              <w:rPr>
                <w:rFonts w:hint="eastAsia" w:cs="宋体" w:asciiTheme="minorEastAsia" w:hAnsiTheme="minorEastAsia" w:eastAsiaTheme="minorEastAsia"/>
                <w:b/>
                <w:szCs w:val="21"/>
              </w:rPr>
              <w:t>（本项目如为专门面向中小企业采购时必须提供，否则响应文件作无效处理）</w:t>
            </w:r>
          </w:p>
          <w:p w14:paraId="3C8888C0">
            <w:pPr>
              <w:snapToGrid w:val="0"/>
              <w:spacing w:line="420" w:lineRule="exact"/>
              <w:rPr>
                <w:rFonts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.除磋商文件规定必须提供以外，供应商认为需要提供的其他证明材料；</w:t>
            </w:r>
          </w:p>
          <w:p w14:paraId="4FE86837">
            <w:pPr>
              <w:snapToGrid w:val="0"/>
              <w:spacing w:line="42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注：</w:t>
            </w:r>
          </w:p>
          <w:p w14:paraId="65B8205A">
            <w:pPr>
              <w:snapToGrid w:val="0"/>
              <w:spacing w:line="420" w:lineRule="exact"/>
              <w:ind w:firstLine="413" w:firstLineChars="196"/>
              <w:rPr>
                <w:rFonts w:cs="宋体" w:asciiTheme="minorEastAsia" w:hAnsiTheme="minorEastAsia" w:eastAsiaTheme="minorEastAsia"/>
                <w:b/>
                <w:szCs w:val="21"/>
              </w:rPr>
            </w:pPr>
            <w:r>
              <w:rPr>
                <w:rFonts w:hint="eastAsia" w:cs="宋体" w:asciiTheme="minorEastAsia" w:hAnsiTheme="minorEastAsia" w:eastAsiaTheme="minorEastAsia"/>
                <w:b/>
                <w:szCs w:val="21"/>
              </w:rPr>
              <w:t>1.以上标明“必须提供”的材料属于复印件的，必须加盖供应商公章，否则响应文件按无效响应处理。</w:t>
            </w:r>
          </w:p>
          <w:p w14:paraId="5531F384">
            <w:pPr>
              <w:snapToGrid w:val="0"/>
              <w:spacing w:line="42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2.竞标声明必须由法定代表人在规定签章处签字并加盖供应商公章，否则响应文件按无效响应处理。</w:t>
            </w:r>
          </w:p>
          <w:p w14:paraId="31A03AEA">
            <w:pPr>
              <w:pStyle w:val="12"/>
              <w:snapToGrid w:val="0"/>
              <w:spacing w:line="420" w:lineRule="exact"/>
              <w:ind w:firstLine="422" w:firstLineChars="200"/>
              <w:jc w:val="both"/>
              <w:rPr>
                <w:rFonts w:cs="宋体" w:asciiTheme="minorEastAsia" w:hAnsiTheme="minorEastAsia" w:eastAsiaTheme="minorEastAsia"/>
                <w:b/>
                <w:szCs w:val="21"/>
              </w:rPr>
            </w:pPr>
            <w:r>
              <w:rPr>
                <w:rFonts w:hint="eastAsia" w:cs="宋体" w:asciiTheme="minorEastAsia" w:hAnsiTheme="minorEastAsia" w:eastAsiaTheme="minorEastAsia"/>
                <w:b/>
                <w:szCs w:val="21"/>
              </w:rPr>
              <w:t>3.联合体竞标时，第1-4项资格证明文件联合体各方均必须分别提供，联合体各方分别盖章和签字，否则响应文件按无效响应处理。</w:t>
            </w:r>
          </w:p>
        </w:tc>
      </w:tr>
      <w:tr w14:paraId="73BE3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DC6CDF">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8231" w:type="dxa"/>
            <w:vAlign w:val="center"/>
          </w:tcPr>
          <w:p w14:paraId="65A6D51C">
            <w:pPr>
              <w:snapToGrid w:val="0"/>
              <w:spacing w:line="420" w:lineRule="exac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报价商务技术文件</w:t>
            </w:r>
          </w:p>
          <w:p w14:paraId="6E61A223">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1.无串通竞标行为的承诺函（格式后附）；</w:t>
            </w:r>
            <w:r>
              <w:rPr>
                <w:rFonts w:hint="eastAsia" w:cs="宋体" w:asciiTheme="minorEastAsia" w:hAnsiTheme="minorEastAsia" w:eastAsiaTheme="minorEastAsia"/>
                <w:b/>
                <w:szCs w:val="21"/>
              </w:rPr>
              <w:t>（必须提供，否则响应文件按无效响应处理）</w:t>
            </w:r>
          </w:p>
          <w:p w14:paraId="0DB3E86E">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2.竞标报价表（格式后附）；</w:t>
            </w:r>
            <w:r>
              <w:rPr>
                <w:rFonts w:hint="eastAsia" w:cs="宋体" w:asciiTheme="minorEastAsia" w:hAnsiTheme="minorEastAsia" w:eastAsiaTheme="minorEastAsia"/>
                <w:b/>
                <w:szCs w:val="21"/>
              </w:rPr>
              <w:t>（必须提供，否则响应文件按无效响应处理）</w:t>
            </w:r>
          </w:p>
          <w:p w14:paraId="7E751B80">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3.法定代表人身份证明及法定代表人有效身份证正反面复印件（格式后附）；</w:t>
            </w:r>
            <w:r>
              <w:rPr>
                <w:rFonts w:hint="eastAsia" w:cs="宋体" w:asciiTheme="minorEastAsia" w:hAnsiTheme="minorEastAsia" w:eastAsiaTheme="minorEastAsia"/>
                <w:b/>
                <w:szCs w:val="21"/>
              </w:rPr>
              <w:t>（</w:t>
            </w:r>
            <w:r>
              <w:rPr>
                <w:rFonts w:hint="eastAsia" w:cs="宋体" w:asciiTheme="minorEastAsia" w:hAnsiTheme="minorEastAsia" w:eastAsiaTheme="minorEastAsia"/>
                <w:b/>
                <w:bCs/>
                <w:szCs w:val="21"/>
              </w:rPr>
              <w:t>除自然人竞标外</w:t>
            </w:r>
            <w:r>
              <w:rPr>
                <w:rFonts w:hint="eastAsia" w:cs="宋体" w:asciiTheme="minorEastAsia" w:hAnsiTheme="minorEastAsia" w:eastAsiaTheme="minorEastAsia"/>
                <w:b/>
                <w:szCs w:val="21"/>
              </w:rPr>
              <w:t>必须提供，否则响应文件按无效响应处理）</w:t>
            </w:r>
          </w:p>
          <w:p w14:paraId="44D0331D">
            <w:pPr>
              <w:snapToGrid w:val="0"/>
              <w:spacing w:line="420" w:lineRule="exact"/>
              <w:rPr>
                <w:rFonts w:cs="宋体" w:asciiTheme="minorEastAsia" w:hAnsiTheme="minorEastAsia" w:eastAsiaTheme="minorEastAsia"/>
                <w:b/>
                <w:szCs w:val="21"/>
              </w:rPr>
            </w:pPr>
            <w:r>
              <w:rPr>
                <w:rFonts w:hint="eastAsia" w:cs="宋体" w:asciiTheme="minorEastAsia" w:hAnsiTheme="minorEastAsia" w:eastAsiaTheme="minorEastAsia"/>
                <w:szCs w:val="21"/>
              </w:rPr>
              <w:t>4.法定代表人授权委托书及其委托代理人有效身份证正反面复印件（格式后附）；</w:t>
            </w:r>
            <w:r>
              <w:rPr>
                <w:rFonts w:hint="eastAsia" w:cs="宋体" w:asciiTheme="minorEastAsia" w:hAnsiTheme="minorEastAsia" w:eastAsiaTheme="minorEastAsia"/>
                <w:b/>
                <w:szCs w:val="21"/>
              </w:rPr>
              <w:t>（委托时必须提供，否则响应文件按无效响应处理）</w:t>
            </w:r>
          </w:p>
          <w:p w14:paraId="199F754E">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5.磋商保证金提交凭证；</w:t>
            </w:r>
            <w:r>
              <w:rPr>
                <w:rFonts w:hint="eastAsia" w:cs="宋体" w:asciiTheme="minorEastAsia" w:hAnsiTheme="minorEastAsia" w:eastAsiaTheme="minorEastAsia"/>
                <w:b/>
                <w:szCs w:val="21"/>
              </w:rPr>
              <w:t>（必须提供，否则响应文件按无效响应处理）</w:t>
            </w:r>
          </w:p>
          <w:p w14:paraId="0B2CC00E">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6.中小企业声明函或者残疾人福利性单位声明函或者供应商属于监狱企业的证明材料（格式后附）；（如有请提供）</w:t>
            </w:r>
          </w:p>
          <w:p w14:paraId="4F6213D2">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7.商务条款偏离表（格式后附）；</w:t>
            </w:r>
            <w:r>
              <w:rPr>
                <w:rFonts w:hint="eastAsia" w:cs="宋体" w:asciiTheme="minorEastAsia" w:hAnsiTheme="minorEastAsia" w:eastAsiaTheme="minorEastAsia"/>
                <w:b/>
                <w:szCs w:val="21"/>
              </w:rPr>
              <w:t>（必须提供，否则响应文件按无效响应处理）</w:t>
            </w:r>
          </w:p>
          <w:p w14:paraId="3260022F">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8.技术需求偏离表（格式后附）；</w:t>
            </w:r>
            <w:r>
              <w:rPr>
                <w:rFonts w:hint="eastAsia" w:cs="宋体" w:asciiTheme="minorEastAsia" w:hAnsiTheme="minorEastAsia" w:eastAsiaTheme="minorEastAsia"/>
                <w:b/>
                <w:szCs w:val="21"/>
              </w:rPr>
              <w:t>（必须提供，否则响应文件按无效响应处理）</w:t>
            </w:r>
          </w:p>
          <w:p w14:paraId="62C69A33">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9.技术实施方案（格式自拟）；</w:t>
            </w:r>
            <w:r>
              <w:rPr>
                <w:rFonts w:hint="eastAsia" w:cs="宋体" w:asciiTheme="minorEastAsia" w:hAnsiTheme="minorEastAsia" w:eastAsiaTheme="minorEastAsia"/>
                <w:b/>
                <w:szCs w:val="21"/>
              </w:rPr>
              <w:t>（必须提供，否则响应文件按无效响应处理）</w:t>
            </w:r>
          </w:p>
          <w:p w14:paraId="3B916ADC">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w:t>
            </w:r>
            <w:r>
              <w:rPr>
                <w:rFonts w:hint="eastAsia" w:cs="宋体" w:asciiTheme="minorEastAsia" w:hAnsiTheme="minorEastAsia" w:eastAsiaTheme="minorEastAsia"/>
                <w:szCs w:val="21"/>
                <w:highlight w:val="cyan"/>
              </w:rPr>
              <w:t>售后服务方案（格式自拟）</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（必须提供，否则响应文件按无效响应处理）</w:t>
            </w:r>
          </w:p>
          <w:p w14:paraId="6775D25D">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11.项目实施人员一览表（格式自拟）；</w:t>
            </w:r>
          </w:p>
          <w:p w14:paraId="1FBABADE">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12.对应采购需求的技术需求、商务条款提供的其他文件资料；</w:t>
            </w:r>
          </w:p>
          <w:p w14:paraId="36E10B25">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13.供应商认为需要提供的其他有关资料。</w:t>
            </w:r>
          </w:p>
          <w:p w14:paraId="6B8F9FA5">
            <w:pPr>
              <w:snapToGrid w:val="0"/>
              <w:spacing w:line="42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注： </w:t>
            </w:r>
          </w:p>
          <w:p w14:paraId="0AB03640">
            <w:pPr>
              <w:snapToGrid w:val="0"/>
              <w:spacing w:line="420" w:lineRule="exact"/>
              <w:ind w:firstLine="413" w:firstLineChars="196"/>
              <w:rPr>
                <w:rFonts w:cs="宋体" w:asciiTheme="minorEastAsia" w:hAnsiTheme="minorEastAsia" w:eastAsiaTheme="minorEastAsia"/>
                <w:b/>
                <w:szCs w:val="21"/>
              </w:rPr>
            </w:pPr>
            <w:r>
              <w:rPr>
                <w:rFonts w:hint="eastAsia" w:cs="宋体" w:asciiTheme="minorEastAsia" w:hAnsiTheme="minorEastAsia" w:eastAsiaTheme="minorEastAsia"/>
                <w:b/>
                <w:szCs w:val="21"/>
              </w:rPr>
              <w:t>1.法定代表人授权委托书必须由法定代表人及其委托代理人签字，并加盖供应商公章，否则响应文件按无效响应处理。</w:t>
            </w:r>
          </w:p>
          <w:p w14:paraId="240BC7EF">
            <w:pPr>
              <w:snapToGrid w:val="0"/>
              <w:spacing w:line="420" w:lineRule="exact"/>
              <w:ind w:firstLine="413" w:firstLineChars="196"/>
              <w:rPr>
                <w:rFonts w:cs="宋体" w:asciiTheme="minorEastAsia" w:hAnsiTheme="minorEastAsia" w:eastAsiaTheme="minorEastAsia"/>
                <w:b/>
                <w:szCs w:val="21"/>
              </w:rPr>
            </w:pPr>
            <w:r>
              <w:rPr>
                <w:rFonts w:cs="宋体" w:asciiTheme="minorEastAsia" w:hAnsiTheme="minorEastAsia" w:eastAsiaTheme="minorEastAsia"/>
                <w:b/>
                <w:szCs w:val="21"/>
              </w:rPr>
              <w:t>2</w:t>
            </w:r>
            <w:r>
              <w:rPr>
                <w:rFonts w:hint="eastAsia" w:cs="宋体" w:asciiTheme="minorEastAsia" w:hAnsiTheme="minorEastAsia" w:eastAsiaTheme="minorEastAsia"/>
                <w:b/>
                <w:szCs w:val="21"/>
              </w:rPr>
              <w:t>.以上标明“必须提供”的材料属于复印件的，必须加盖供应商公章，否则响应文件按无效响应处理。</w:t>
            </w:r>
          </w:p>
          <w:p w14:paraId="47E04E0E">
            <w:pPr>
              <w:snapToGrid w:val="0"/>
              <w:spacing w:line="420" w:lineRule="exact"/>
              <w:ind w:firstLine="413" w:firstLineChars="196"/>
              <w:rPr>
                <w:rFonts w:cs="宋体" w:asciiTheme="minorEastAsia" w:hAnsiTheme="minorEastAsia" w:eastAsiaTheme="minorEastAsia"/>
                <w:szCs w:val="21"/>
              </w:rPr>
            </w:pPr>
            <w:r>
              <w:rPr>
                <w:rFonts w:hint="eastAsia" w:cs="宋体" w:asciiTheme="minorEastAsia" w:hAnsiTheme="minorEastAsia" w:eastAsiaTheme="minorEastAsia"/>
                <w:b/>
                <w:szCs w:val="21"/>
              </w:rPr>
              <w:t>3.以上材料未附格式的，由供应商自行拟定。</w:t>
            </w:r>
          </w:p>
        </w:tc>
      </w:tr>
      <w:tr w14:paraId="76757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0CDD6E9">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8231" w:type="dxa"/>
            <w:vAlign w:val="center"/>
          </w:tcPr>
          <w:p w14:paraId="4E7F9FC3">
            <w:pPr>
              <w:pStyle w:val="12"/>
              <w:snapToGrid w:val="0"/>
              <w:spacing w:line="420" w:lineRule="exact"/>
              <w:jc w:val="both"/>
              <w:rPr>
                <w:rFonts w:cs="宋体" w:asciiTheme="minorEastAsia" w:hAnsiTheme="minorEastAsia" w:eastAsiaTheme="minorEastAsia"/>
                <w:szCs w:val="21"/>
              </w:rPr>
            </w:pPr>
            <w:r>
              <w:rPr>
                <w:rFonts w:hint="eastAsia" w:cs="宋体" w:asciiTheme="minorEastAsia" w:hAnsiTheme="minorEastAsia" w:eastAsiaTheme="minorEastAsia"/>
                <w:szCs w:val="21"/>
              </w:rPr>
              <w:t>响应文件电子版。供应商在递交响应文件时，同时递交响应文件电子版。</w:t>
            </w:r>
          </w:p>
          <w:p w14:paraId="5E6EE65B">
            <w:pPr>
              <w:pStyle w:val="12"/>
              <w:snapToGrid w:val="0"/>
              <w:spacing w:line="420" w:lineRule="exact"/>
              <w:jc w:val="both"/>
              <w:rPr>
                <w:rFonts w:cs="宋体" w:asciiTheme="minorEastAsia" w:hAnsiTheme="minorEastAsia" w:eastAsiaTheme="minorEastAsia"/>
                <w:szCs w:val="21"/>
              </w:rPr>
            </w:pPr>
            <w:r>
              <w:rPr>
                <w:rFonts w:hint="eastAsia" w:cs="宋体" w:asciiTheme="minorEastAsia" w:hAnsiTheme="minorEastAsia" w:eastAsiaTheme="minorEastAsia"/>
                <w:szCs w:val="21"/>
              </w:rPr>
              <w:t>1.响应文件电子版内容：与纸质响应文件全部内容一致。</w:t>
            </w:r>
          </w:p>
          <w:p w14:paraId="07594D38">
            <w:pPr>
              <w:pStyle w:val="12"/>
              <w:snapToGrid w:val="0"/>
              <w:spacing w:line="420" w:lineRule="exact"/>
              <w:jc w:val="both"/>
              <w:rPr>
                <w:rFonts w:cs="宋体" w:asciiTheme="minorEastAsia" w:hAnsiTheme="minorEastAsia" w:eastAsiaTheme="minorEastAsia"/>
                <w:szCs w:val="21"/>
              </w:rPr>
            </w:pPr>
            <w:r>
              <w:rPr>
                <w:rFonts w:hint="eastAsia" w:cs="宋体" w:asciiTheme="minorEastAsia" w:hAnsiTheme="minorEastAsia" w:eastAsiaTheme="minorEastAsia"/>
                <w:szCs w:val="21"/>
              </w:rPr>
              <w:t>2.响应文件电子版形式：可编辑的文档格式1份和已签字盖章的响应文件正本的扫描件（PDF格式）1份。</w:t>
            </w:r>
          </w:p>
          <w:p w14:paraId="0059A3C2">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3.响应文件电子版密封方式：响应文件电子版光盘（或者U盘）单独密封</w:t>
            </w:r>
            <w:r>
              <w:rPr>
                <w:rFonts w:hint="eastAsia" w:asciiTheme="minorEastAsia" w:hAnsiTheme="minorEastAsia" w:eastAsiaTheme="minorEastAsia"/>
                <w:szCs w:val="21"/>
              </w:rPr>
              <w:t>（外层包装封面上标明项目名称、项目编号及供应商名称）</w:t>
            </w:r>
            <w:r>
              <w:rPr>
                <w:rFonts w:hint="eastAsia" w:cs="宋体" w:asciiTheme="minorEastAsia" w:hAnsiTheme="minorEastAsia" w:eastAsiaTheme="minorEastAsia"/>
                <w:szCs w:val="21"/>
              </w:rPr>
              <w:t>与纸质版响应文件一并装入响应文件袋中。</w:t>
            </w:r>
          </w:p>
        </w:tc>
      </w:tr>
      <w:tr w14:paraId="024A5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A2A648">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8231" w:type="dxa"/>
            <w:vAlign w:val="center"/>
          </w:tcPr>
          <w:p w14:paraId="412ADE9D">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磋商报价必须包含满足本次竞标全部采购需求所应提供的服务，以及伴随的货物和工程（如有）的价格；包含竞标服务、货物、工程的成本、运输（含保险）、安装（如有）、调试、检验、技术服务、培训、税费等所有费用。</w:t>
            </w:r>
          </w:p>
          <w:p w14:paraId="1FCD35A0">
            <w:pPr>
              <w:snapToGrid w:val="0"/>
              <w:spacing w:line="420" w:lineRule="exact"/>
              <w:rPr>
                <w:rFonts w:asciiTheme="minorEastAsia" w:hAnsiTheme="minorEastAsia" w:eastAsiaTheme="minorEastAsia"/>
                <w:b/>
                <w:szCs w:val="21"/>
              </w:rPr>
            </w:pPr>
            <w:r>
              <w:rPr>
                <w:rFonts w:hint="eastAsia" w:ascii="MS Mincho" w:hAnsi="MS Mincho" w:eastAsia="MS Mincho" w:cs="MS Mincho"/>
                <w:szCs w:val="21"/>
              </w:rPr>
              <w:t>☑</w:t>
            </w:r>
            <w:r>
              <w:rPr>
                <w:rFonts w:hint="eastAsia" w:asciiTheme="minorEastAsia" w:hAnsiTheme="minorEastAsia" w:eastAsiaTheme="minorEastAsia"/>
                <w:b/>
                <w:szCs w:val="21"/>
              </w:rPr>
              <w:t>竞标报价包含验收费用</w:t>
            </w:r>
          </w:p>
          <w:p w14:paraId="45F3F94F">
            <w:pPr>
              <w:snapToGrid w:val="0"/>
              <w:spacing w:line="420" w:lineRule="exact"/>
              <w:rPr>
                <w:rFonts w:cs="宋体" w:asciiTheme="minorEastAsia" w:hAnsiTheme="minorEastAsia" w:eastAsiaTheme="minorEastAsia"/>
                <w:szCs w:val="21"/>
              </w:rPr>
            </w:pPr>
            <w:r>
              <w:rPr>
                <w:rFonts w:hint="eastAsia" w:asciiTheme="minorEastAsia" w:hAnsiTheme="minorEastAsia" w:eastAsiaTheme="minorEastAsia"/>
                <w:b/>
                <w:szCs w:val="21"/>
              </w:rPr>
              <w:t>□竞标报价不包含验收费用</w:t>
            </w:r>
          </w:p>
        </w:tc>
      </w:tr>
      <w:tr w14:paraId="26C9B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D5C9F09">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8231" w:type="dxa"/>
            <w:vAlign w:val="center"/>
          </w:tcPr>
          <w:p w14:paraId="05EF2DAC">
            <w:pPr>
              <w:pStyle w:val="10"/>
              <w:widowControl w:val="0"/>
              <w:tabs>
                <w:tab w:val="clear" w:pos="454"/>
              </w:tabs>
              <w:snapToGrid w:val="0"/>
              <w:spacing w:afterLines="0" w:line="420" w:lineRule="exact"/>
              <w:ind w:left="283" w:hanging="283" w:hangingChars="135"/>
              <w:jc w:val="both"/>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竞标有效期：自首次响应文件提交截止之日起</w:t>
            </w:r>
            <w:r>
              <w:rPr>
                <w:rFonts w:hint="eastAsia" w:cs="宋体" w:asciiTheme="minorEastAsia" w:hAnsiTheme="minorEastAsia" w:eastAsiaTheme="minorEastAsia"/>
                <w:kern w:val="2"/>
                <w:sz w:val="21"/>
                <w:szCs w:val="21"/>
                <w:u w:val="single"/>
              </w:rPr>
              <w:t>60</w:t>
            </w:r>
            <w:r>
              <w:rPr>
                <w:rFonts w:hint="eastAsia" w:cs="宋体" w:asciiTheme="minorEastAsia" w:hAnsiTheme="minorEastAsia" w:eastAsiaTheme="minorEastAsia"/>
                <w:kern w:val="2"/>
                <w:sz w:val="21"/>
                <w:szCs w:val="21"/>
              </w:rPr>
              <w:t>日。</w:t>
            </w:r>
          </w:p>
        </w:tc>
      </w:tr>
      <w:tr w14:paraId="35A2E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DD9B66">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8231" w:type="dxa"/>
            <w:vAlign w:val="center"/>
          </w:tcPr>
          <w:p w14:paraId="313E6AF9">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磋商保证金的金额：详见竞争性磋商公告。</w:t>
            </w:r>
          </w:p>
          <w:p w14:paraId="0CFF1657">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磋商保证金的缴纳方式：详见竞争性磋商公告。</w:t>
            </w:r>
          </w:p>
          <w:p w14:paraId="6F2FC904">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相关要求：</w:t>
            </w:r>
          </w:p>
          <w:p w14:paraId="7E359411">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1.磋商保证金采用银行转账缴纳方式的，在首次响应文件提交截止时间前交至采购代理机构指定账户并且到账，供应商应将银行转账底单的复印件作为磋商保证金提交凭证，放置于报价商务技术文件中，</w:t>
            </w:r>
            <w:r>
              <w:rPr>
                <w:rFonts w:hint="eastAsia" w:cs="宋体" w:asciiTheme="minorEastAsia" w:hAnsiTheme="minorEastAsia" w:eastAsiaTheme="minorEastAsia"/>
                <w:b/>
                <w:szCs w:val="21"/>
              </w:rPr>
              <w:t>否则响应文件按无效响应处理</w:t>
            </w:r>
            <w:r>
              <w:rPr>
                <w:rFonts w:hint="eastAsia" w:cs="宋体" w:asciiTheme="minorEastAsia" w:hAnsiTheme="minorEastAsia" w:eastAsiaTheme="minorEastAsia"/>
                <w:szCs w:val="21"/>
              </w:rPr>
              <w:t>。</w:t>
            </w:r>
          </w:p>
          <w:p w14:paraId="1F9A1A2C">
            <w:pPr>
              <w:snapToGrid w:val="0"/>
              <w:spacing w:line="420" w:lineRule="exact"/>
              <w:rPr>
                <w:rFonts w:asciiTheme="minorEastAsia" w:hAnsiTheme="minorEastAsia" w:eastAsiaTheme="minorEastAsia"/>
                <w:szCs w:val="21"/>
              </w:rPr>
            </w:pPr>
            <w:r>
              <w:rPr>
                <w:rFonts w:hint="eastAsia" w:asciiTheme="minorEastAsia" w:hAnsiTheme="minorEastAsia" w:eastAsiaTheme="minorEastAsia"/>
                <w:szCs w:val="21"/>
              </w:rPr>
              <w:t>2.磋商保证金采用支票、汇票、本票或者金融机构、担保机构出具的保函等缴纳方式的，供应商应将支票、汇票、本票或者金融机构、担保机构出具的保函等的复印件作为磋商保证金提交凭证，放置于</w:t>
            </w:r>
            <w:r>
              <w:rPr>
                <w:rFonts w:hint="eastAsia" w:cs="宋体" w:asciiTheme="minorEastAsia" w:hAnsiTheme="minorEastAsia" w:eastAsiaTheme="minorEastAsia"/>
                <w:szCs w:val="21"/>
              </w:rPr>
              <w:t>报价商务技术文件</w:t>
            </w:r>
            <w:r>
              <w:rPr>
                <w:rFonts w:hint="eastAsia" w:asciiTheme="minorEastAsia" w:hAnsiTheme="minorEastAsia" w:eastAsiaTheme="minorEastAsia"/>
                <w:szCs w:val="21"/>
              </w:rPr>
              <w:t>中，</w:t>
            </w:r>
            <w:r>
              <w:rPr>
                <w:rFonts w:hint="eastAsia" w:asciiTheme="minorEastAsia" w:hAnsiTheme="minorEastAsia" w:eastAsiaTheme="minorEastAsia"/>
                <w:b/>
                <w:szCs w:val="21"/>
              </w:rPr>
              <w:t>否则竞标无效</w:t>
            </w:r>
            <w:r>
              <w:rPr>
                <w:rFonts w:hint="eastAsia" w:asciiTheme="minorEastAsia" w:hAnsiTheme="minorEastAsia" w:eastAsiaTheme="minorEastAsia"/>
                <w:szCs w:val="21"/>
              </w:rPr>
              <w:t>。供应商必须于递交响应文件时将支票、汇票、本票或者金融机构、担保机构出具的保函等原件提交给采购人或者采购代理机构，由采购代理机构向供应商出具回执，并妥善保管。</w:t>
            </w:r>
          </w:p>
          <w:p w14:paraId="1F4474EF">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3.磋商保证金指定账户：详见竞争性磋商公告。</w:t>
            </w:r>
          </w:p>
          <w:p w14:paraId="01440558">
            <w:pPr>
              <w:snapToGrid w:val="0"/>
              <w:spacing w:line="420" w:lineRule="exact"/>
              <w:rPr>
                <w:rFonts w:cs="宋体" w:asciiTheme="minorEastAsia" w:hAnsiTheme="minorEastAsia" w:eastAsiaTheme="minorEastAsia"/>
                <w:b/>
                <w:szCs w:val="21"/>
              </w:rPr>
            </w:pPr>
            <w:r>
              <w:rPr>
                <w:rFonts w:hint="eastAsia" w:cs="宋体" w:asciiTheme="minorEastAsia" w:hAnsiTheme="minorEastAsia" w:eastAsiaTheme="minorEastAsia"/>
                <w:szCs w:val="21"/>
              </w:rPr>
              <w:t>4.本项目如接受联合体的，可以由联合体中的一方或者多方共同缴纳磋商保证金，其缴纳的磋商保证金对联合体各方均具有约束力。</w:t>
            </w:r>
          </w:p>
          <w:p w14:paraId="6FF989AC">
            <w:pPr>
              <w:snapToGrid w:val="0"/>
              <w:spacing w:line="42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备注： </w:t>
            </w:r>
          </w:p>
          <w:p w14:paraId="6DFCA25E">
            <w:pPr>
              <w:snapToGrid w:val="0"/>
              <w:spacing w:line="42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1.磋商保证金在首次响应文件提交截止时间后提交的，或者不按规定缴纳方式缴纳的，或者未足额缴纳的（包含保函额度不足的），视为无效磋商保证金。</w:t>
            </w:r>
          </w:p>
          <w:p w14:paraId="1CB94DEF">
            <w:pPr>
              <w:snapToGrid w:val="0"/>
              <w:spacing w:line="42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2.供应商采用现金方式或者从个人账户（自然人竞标除外）转出的磋商保证金，视为无效磋商保证金。</w:t>
            </w:r>
          </w:p>
          <w:p w14:paraId="2BD2AF6A">
            <w:pPr>
              <w:snapToGrid w:val="0"/>
              <w:spacing w:line="42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3.支票、汇票或者本票出现无效或者背书情形的，视为无效磋商保证金。</w:t>
            </w:r>
          </w:p>
          <w:p w14:paraId="2DFC938B">
            <w:pPr>
              <w:snapToGrid w:val="0"/>
              <w:spacing w:line="42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4.保函有效期低于竞标有效期的，视为无效磋商保证金。</w:t>
            </w:r>
          </w:p>
          <w:p w14:paraId="18C25905">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5.采用金融、担保机构出具保函的，必须为无条件保函，否则视为无效磋商保证金。</w:t>
            </w:r>
          </w:p>
        </w:tc>
      </w:tr>
      <w:tr w14:paraId="4E316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85DF71">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w:t>
            </w:r>
          </w:p>
        </w:tc>
        <w:tc>
          <w:tcPr>
            <w:tcW w:w="8231" w:type="dxa"/>
            <w:vAlign w:val="center"/>
          </w:tcPr>
          <w:p w14:paraId="411683CC">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响应文件份数：</w:t>
            </w:r>
            <w:r>
              <w:rPr>
                <w:rFonts w:hint="eastAsia" w:cs="宋体" w:asciiTheme="minorEastAsia" w:hAnsiTheme="minorEastAsia" w:eastAsiaTheme="minorEastAsia"/>
                <w:b/>
                <w:szCs w:val="21"/>
              </w:rPr>
              <w:t>正本一份、副本四份。</w:t>
            </w:r>
          </w:p>
        </w:tc>
      </w:tr>
      <w:tr w14:paraId="46AF3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20755A3">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w:t>
            </w:r>
          </w:p>
        </w:tc>
        <w:tc>
          <w:tcPr>
            <w:tcW w:w="8231" w:type="dxa"/>
            <w:vAlign w:val="center"/>
          </w:tcPr>
          <w:p w14:paraId="1A401285">
            <w:pPr>
              <w:snapToGrid w:val="0"/>
              <w:spacing w:line="42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rPr>
              <w:t>首次响应文件提交截止时间：详见竞争性磋商公告</w:t>
            </w:r>
          </w:p>
          <w:p w14:paraId="449687CE">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首次响应文件提交地点：详见竞争性磋商公告</w:t>
            </w:r>
          </w:p>
          <w:p w14:paraId="184FB717">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供应商必须在首次响应文件提交截止时间前，将响应文件密封送达首次响应文件提交地点。在首次响应文件提交截止时间后送达的响应文件为无效文件，采购代理机构应当拒收。</w:t>
            </w:r>
          </w:p>
          <w:p w14:paraId="13B04E41">
            <w:pPr>
              <w:snapToGrid w:val="0"/>
              <w:spacing w:line="420" w:lineRule="exact"/>
              <w:rPr>
                <w:rFonts w:cs="宋体" w:asciiTheme="minorEastAsia" w:hAnsiTheme="minorEastAsia" w:eastAsiaTheme="minorEastAsia"/>
                <w:szCs w:val="21"/>
              </w:rPr>
            </w:pPr>
            <w:r>
              <w:rPr>
                <w:rFonts w:hint="eastAsia" w:asciiTheme="minorEastAsia" w:hAnsiTheme="minorEastAsia" w:eastAsiaTheme="minorEastAsia"/>
                <w:szCs w:val="21"/>
              </w:rPr>
              <w:t>其他文书、文件递交：详见供应商须知正文“三、响应文件的编制”相应条款。</w:t>
            </w:r>
          </w:p>
        </w:tc>
      </w:tr>
      <w:tr w14:paraId="3D1B1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21E212E">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w:t>
            </w:r>
          </w:p>
        </w:tc>
        <w:tc>
          <w:tcPr>
            <w:tcW w:w="8231" w:type="dxa"/>
            <w:vAlign w:val="center"/>
          </w:tcPr>
          <w:p w14:paraId="60ACDE45">
            <w:pPr>
              <w:snapToGrid w:val="0"/>
              <w:spacing w:line="42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rPr>
              <w:t>磋商小组的人数：由采购人代表和评审专家共3人以上单数组成。</w:t>
            </w:r>
          </w:p>
        </w:tc>
      </w:tr>
      <w:tr w14:paraId="349E8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92" w:type="dxa"/>
            <w:vMerge w:val="restart"/>
            <w:vAlign w:val="center"/>
          </w:tcPr>
          <w:p w14:paraId="2C43FA4F">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8231" w:type="dxa"/>
            <w:vAlign w:val="center"/>
          </w:tcPr>
          <w:p w14:paraId="694F573C">
            <w:pPr>
              <w:snapToGrid w:val="0"/>
              <w:spacing w:line="42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商务条款评审中允许负偏离的条款数为</w:t>
            </w:r>
            <w:r>
              <w:rPr>
                <w:rFonts w:hint="eastAsia" w:cs="宋体" w:asciiTheme="minorEastAsia" w:hAnsiTheme="minorEastAsia" w:eastAsiaTheme="minorEastAsia"/>
                <w:b/>
                <w:szCs w:val="21"/>
                <w:u w:val="single"/>
              </w:rPr>
              <w:t>0</w:t>
            </w:r>
            <w:r>
              <w:rPr>
                <w:rFonts w:hint="eastAsia" w:cs="宋体" w:asciiTheme="minorEastAsia" w:hAnsiTheme="minorEastAsia" w:eastAsiaTheme="minorEastAsia"/>
                <w:b/>
                <w:szCs w:val="21"/>
              </w:rPr>
              <w:t>项。</w:t>
            </w:r>
          </w:p>
          <w:p w14:paraId="549B3C73">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技术需求评审中允许负偏离的条款数为</w:t>
            </w:r>
            <w:r>
              <w:rPr>
                <w:rFonts w:hint="eastAsia" w:cs="宋体" w:asciiTheme="minorEastAsia" w:hAnsiTheme="minorEastAsia" w:eastAsiaTheme="minorEastAsia"/>
                <w:b/>
                <w:szCs w:val="21"/>
                <w:u w:val="single"/>
              </w:rPr>
              <w:t>5</w:t>
            </w:r>
            <w:r>
              <w:rPr>
                <w:rFonts w:hint="eastAsia" w:cs="宋体" w:asciiTheme="minorEastAsia" w:hAnsiTheme="minorEastAsia" w:eastAsiaTheme="minorEastAsia"/>
                <w:b/>
                <w:szCs w:val="21"/>
              </w:rPr>
              <w:t>项。</w:t>
            </w:r>
          </w:p>
        </w:tc>
      </w:tr>
      <w:tr w14:paraId="6AB69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3" w:hRule="atLeast"/>
          <w:jc w:val="center"/>
        </w:trPr>
        <w:tc>
          <w:tcPr>
            <w:tcW w:w="992" w:type="dxa"/>
            <w:vMerge w:val="continue"/>
            <w:vAlign w:val="center"/>
          </w:tcPr>
          <w:p w14:paraId="5C4E0808">
            <w:pPr>
              <w:snapToGrid w:val="0"/>
              <w:spacing w:line="420" w:lineRule="exact"/>
              <w:jc w:val="center"/>
              <w:rPr>
                <w:rFonts w:cs="宋体" w:asciiTheme="minorEastAsia" w:hAnsiTheme="minorEastAsia" w:eastAsiaTheme="minorEastAsia"/>
                <w:szCs w:val="21"/>
              </w:rPr>
            </w:pPr>
          </w:p>
        </w:tc>
        <w:tc>
          <w:tcPr>
            <w:tcW w:w="8231" w:type="dxa"/>
            <w:vAlign w:val="center"/>
          </w:tcPr>
          <w:p w14:paraId="1469E277">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磋商的顺序：</w:t>
            </w:r>
          </w:p>
          <w:p w14:paraId="40CE3821">
            <w:pPr>
              <w:pStyle w:val="12"/>
              <w:snapToGrid w:val="0"/>
              <w:spacing w:line="420" w:lineRule="exact"/>
              <w:jc w:val="both"/>
              <w:rPr>
                <w:rFonts w:asciiTheme="minorEastAsia" w:hAnsiTheme="minorEastAsia" w:eastAsiaTheme="minorEastAsia"/>
                <w:szCs w:val="21"/>
              </w:rPr>
            </w:pPr>
            <w:r>
              <w:rPr>
                <w:rFonts w:hint="eastAsia" w:ascii="MS Mincho" w:hAnsi="MS Mincho" w:eastAsia="MS Mincho" w:cs="MS Mincho"/>
                <w:szCs w:val="21"/>
              </w:rPr>
              <w:t>☑</w:t>
            </w:r>
            <w:r>
              <w:rPr>
                <w:rFonts w:hint="eastAsia" w:asciiTheme="minorEastAsia" w:hAnsiTheme="minorEastAsia" w:eastAsiaTheme="minorEastAsia"/>
                <w:szCs w:val="21"/>
              </w:rPr>
              <w:t>按照</w:t>
            </w:r>
            <w:r>
              <w:rPr>
                <w:rFonts w:hint="eastAsia" w:cs="宋体" w:asciiTheme="minorEastAsia" w:hAnsiTheme="minorEastAsia" w:eastAsiaTheme="minorEastAsia"/>
                <w:szCs w:val="21"/>
              </w:rPr>
              <w:t>提交首次响应文件的顺序，通知磋商时，若某供应商不在通知现场时，该供应商排序到最后磋商，按照签到的顺序由其下一位供应商先参与磋商。</w:t>
            </w:r>
          </w:p>
          <w:p w14:paraId="7DD0ABA3">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□随机排序。</w:t>
            </w:r>
          </w:p>
          <w:p w14:paraId="6181D5AD">
            <w:pPr>
              <w:pStyle w:val="12"/>
              <w:snapToGrid w:val="0"/>
              <w:spacing w:line="420" w:lineRule="exact"/>
              <w:jc w:val="both"/>
              <w:rPr>
                <w:rFonts w:cs="宋体" w:asciiTheme="minorEastAsia" w:hAnsiTheme="minorEastAsia" w:eastAsiaTheme="minorEastAsia"/>
                <w:b/>
                <w:szCs w:val="21"/>
              </w:rPr>
            </w:pPr>
            <w:r>
              <w:rPr>
                <w:rFonts w:hint="eastAsia" w:cs="宋体" w:asciiTheme="minorEastAsia" w:hAnsiTheme="minorEastAsia" w:eastAsiaTheme="minorEastAsia"/>
                <w:b/>
                <w:szCs w:val="21"/>
              </w:rPr>
              <w:t>参与磋商前，供应商法定代表人或者其委托代理人必须向磋商小组出示本人有效证件原件</w:t>
            </w:r>
            <w:r>
              <w:rPr>
                <w:rFonts w:cs="宋体" w:asciiTheme="minorEastAsia" w:hAnsiTheme="minorEastAsia" w:eastAsiaTheme="minorEastAsia"/>
                <w:b/>
                <w:szCs w:val="21"/>
              </w:rPr>
              <w:t>[</w:t>
            </w:r>
            <w:r>
              <w:rPr>
                <w:rFonts w:hint="eastAsia" w:cs="宋体" w:asciiTheme="minorEastAsia" w:hAnsiTheme="minorEastAsia" w:eastAsiaTheme="minorEastAsia"/>
                <w:b/>
                <w:szCs w:val="21"/>
              </w:rPr>
              <w:t>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6A3EA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CDC4EE">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w:t>
            </w:r>
          </w:p>
        </w:tc>
        <w:tc>
          <w:tcPr>
            <w:tcW w:w="8231" w:type="dxa"/>
            <w:vAlign w:val="center"/>
          </w:tcPr>
          <w:p w14:paraId="74775A12">
            <w:pPr>
              <w:autoSpaceDE w:val="0"/>
              <w:autoSpaceDN w:val="0"/>
              <w:snapToGrid w:val="0"/>
              <w:spacing w:line="400" w:lineRule="exact"/>
              <w:textAlignment w:val="bottom"/>
              <w:rPr>
                <w:rFonts w:ascii="宋体" w:hAnsi="宋体"/>
                <w:b/>
                <w:bCs/>
                <w:szCs w:val="21"/>
              </w:rPr>
            </w:pPr>
            <w:r>
              <w:rPr>
                <w:rFonts w:hint="eastAsia" w:ascii="MS Mincho" w:hAnsi="MS Mincho" w:cs="MS Mincho"/>
                <w:b/>
                <w:bCs/>
                <w:szCs w:val="21"/>
              </w:rPr>
              <w:t>□</w:t>
            </w:r>
            <w:r>
              <w:rPr>
                <w:rFonts w:hint="eastAsia" w:ascii="宋体" w:hAnsi="宋体"/>
                <w:b/>
                <w:bCs/>
                <w:szCs w:val="21"/>
              </w:rPr>
              <w:t>本项目不收取履约保证金</w:t>
            </w:r>
          </w:p>
          <w:p w14:paraId="095E1907">
            <w:pPr>
              <w:autoSpaceDE w:val="0"/>
              <w:autoSpaceDN w:val="0"/>
              <w:snapToGrid w:val="0"/>
              <w:spacing w:line="400" w:lineRule="exact"/>
              <w:textAlignment w:val="bottom"/>
              <w:rPr>
                <w:rFonts w:asciiTheme="minorEastAsia" w:hAnsiTheme="minorEastAsia" w:eastAsiaTheme="minorEastAsia"/>
                <w:szCs w:val="21"/>
              </w:rPr>
            </w:pPr>
            <w:r>
              <w:rPr>
                <w:rFonts w:hint="eastAsia" w:ascii="MS Mincho" w:hAnsi="MS Mincho" w:cs="MS Mincho"/>
                <w:b/>
                <w:bCs/>
                <w:szCs w:val="21"/>
              </w:rPr>
              <w:sym w:font="Wingdings 2" w:char="0052"/>
            </w:r>
            <w:r>
              <w:rPr>
                <w:rFonts w:hint="eastAsia" w:ascii="宋体" w:hAnsi="宋体"/>
                <w:b/>
                <w:bCs/>
                <w:szCs w:val="21"/>
              </w:rPr>
              <w:t>本项目收取履约保证金</w:t>
            </w:r>
            <w:r>
              <w:rPr>
                <w:rFonts w:hint="eastAsia" w:ascii="宋体" w:hAnsi="宋体"/>
                <w:szCs w:val="21"/>
              </w:rPr>
              <w:t>，具体规定如下：</w:t>
            </w:r>
          </w:p>
          <w:p w14:paraId="0D5BE1DA">
            <w:pPr>
              <w:autoSpaceDE w:val="0"/>
              <w:autoSpaceDN w:val="0"/>
              <w:snapToGrid w:val="0"/>
              <w:spacing w:line="420" w:lineRule="exact"/>
              <w:textAlignment w:val="bottom"/>
              <w:rPr>
                <w:rFonts w:asciiTheme="minorEastAsia" w:hAnsiTheme="minorEastAsia" w:eastAsiaTheme="minorEastAsia"/>
                <w:szCs w:val="21"/>
              </w:rPr>
            </w:pPr>
            <w:r>
              <w:rPr>
                <w:rFonts w:asciiTheme="minorEastAsia" w:hAnsiTheme="minorEastAsia" w:eastAsiaTheme="minorEastAsia"/>
                <w:szCs w:val="21"/>
              </w:rPr>
              <w:t>履约保证金金额：</w:t>
            </w:r>
            <w:r>
              <w:rPr>
                <w:rFonts w:hint="eastAsia" w:asciiTheme="minorEastAsia" w:hAnsiTheme="minorEastAsia" w:eastAsiaTheme="minorEastAsia"/>
                <w:szCs w:val="21"/>
              </w:rPr>
              <w:t>按合同金额的2%</w:t>
            </w:r>
            <w:r>
              <w:rPr>
                <w:rFonts w:hint="eastAsia" w:ascii="宋体" w:hAnsi="宋体" w:cs="宋体"/>
                <w:szCs w:val="21"/>
              </w:rPr>
              <w:t>（注：履约保证金不超过成交金额的</w:t>
            </w:r>
            <w:r>
              <w:rPr>
                <w:rFonts w:ascii="宋体" w:hAnsi="宋体" w:cs="宋体"/>
                <w:szCs w:val="21"/>
              </w:rPr>
              <w:t>3</w:t>
            </w:r>
            <w:r>
              <w:rPr>
                <w:rFonts w:hint="eastAsia" w:ascii="宋体" w:hAnsi="宋体" w:cs="宋体"/>
                <w:szCs w:val="21"/>
              </w:rPr>
              <w:t>%，若成交供应商为小微企业的则按成交金额的2%收取，</w:t>
            </w:r>
            <w:r>
              <w:rPr>
                <w:rFonts w:hint="eastAsia" w:ascii="宋体" w:hAnsi="宋体"/>
                <w:szCs w:val="21"/>
              </w:rPr>
              <w:t>以响应文件中提交的中小企业声明函为依据</w:t>
            </w:r>
            <w:r>
              <w:rPr>
                <w:rFonts w:hint="eastAsia" w:ascii="宋体" w:hAnsi="宋体" w:cs="宋体"/>
                <w:szCs w:val="21"/>
              </w:rPr>
              <w:t>）</w:t>
            </w:r>
          </w:p>
          <w:p w14:paraId="4289B4BD">
            <w:pPr>
              <w:autoSpaceDE w:val="0"/>
              <w:autoSpaceDN w:val="0"/>
              <w:snapToGrid w:val="0"/>
              <w:spacing w:line="420" w:lineRule="exact"/>
              <w:textAlignment w:val="bottom"/>
              <w:rPr>
                <w:rFonts w:asciiTheme="minorEastAsia" w:hAnsiTheme="minorEastAsia" w:eastAsiaTheme="minorEastAsia"/>
                <w:szCs w:val="21"/>
              </w:rPr>
            </w:pPr>
            <w:r>
              <w:rPr>
                <w:rFonts w:asciiTheme="minorEastAsia" w:hAnsiTheme="minorEastAsia" w:eastAsiaTheme="minorEastAsia"/>
                <w:szCs w:val="21"/>
              </w:rPr>
              <w:t>履约保证金递交方式：</w:t>
            </w:r>
            <w:r>
              <w:rPr>
                <w:rFonts w:hint="eastAsia" w:asciiTheme="minorEastAsia" w:hAnsiTheme="minorEastAsia" w:eastAsiaTheme="minorEastAsia"/>
                <w:szCs w:val="21"/>
              </w:rPr>
              <w:t>银行转账</w:t>
            </w:r>
            <w:r>
              <w:rPr>
                <w:rFonts w:asciiTheme="minorEastAsia" w:hAnsiTheme="minorEastAsia" w:eastAsiaTheme="minorEastAsia"/>
                <w:szCs w:val="21"/>
              </w:rPr>
              <w:t>。由成交人在签订合同前按规定的金额直接缴入采购人账户。否则，不予</w:t>
            </w:r>
            <w:r>
              <w:rPr>
                <w:rFonts w:hint="eastAsia" w:asciiTheme="minorEastAsia" w:hAnsiTheme="minorEastAsia" w:eastAsiaTheme="minorEastAsia"/>
                <w:szCs w:val="21"/>
              </w:rPr>
              <w:t>办理</w:t>
            </w:r>
            <w:r>
              <w:rPr>
                <w:rFonts w:asciiTheme="minorEastAsia" w:hAnsiTheme="minorEastAsia" w:eastAsiaTheme="minorEastAsia"/>
                <w:szCs w:val="21"/>
              </w:rPr>
              <w:t>签订合同。</w:t>
            </w:r>
          </w:p>
          <w:p w14:paraId="67126FB7">
            <w:pPr>
              <w:snapToGrid w:val="0"/>
              <w:spacing w:line="420" w:lineRule="exact"/>
              <w:rPr>
                <w:rFonts w:asciiTheme="minorEastAsia" w:hAnsiTheme="minorEastAsia" w:eastAsiaTheme="minorEastAsia"/>
                <w:szCs w:val="21"/>
              </w:rPr>
            </w:pPr>
            <w:r>
              <w:rPr>
                <w:rFonts w:hint="eastAsia" w:asciiTheme="minorEastAsia" w:hAnsiTheme="minorEastAsia" w:eastAsiaTheme="minorEastAsia"/>
                <w:szCs w:val="21"/>
              </w:rPr>
              <w:t>履约保证金退还方式：</w:t>
            </w:r>
            <w:r>
              <w:rPr>
                <w:rFonts w:hint="eastAsia" w:ascii="宋体" w:hAnsi="宋体" w:cs="宋体"/>
                <w:szCs w:val="21"/>
              </w:rPr>
              <w:t xml:space="preserve">  验收合格，成交供应商履行完合同所有义务，验收合格，成交供应商履行完合同所有义务，且无违约，由成交供应商向履约保证金收取单位提供《采购项目合同验收书》（详见第八章 采购合同验收书范本）及《采购项目履约保证金退付意见书》（详见第八章 采购合同验收书范本），保证金收取单位在收到合格材料后5个工作日内办理退还手续（不计利息） </w:t>
            </w:r>
            <w:r>
              <w:rPr>
                <w:rFonts w:hint="eastAsia" w:asciiTheme="minorEastAsia" w:hAnsiTheme="minorEastAsia" w:eastAsiaTheme="minorEastAsia"/>
                <w:szCs w:val="21"/>
              </w:rPr>
              <w:t>。</w:t>
            </w:r>
          </w:p>
          <w:p w14:paraId="6A3364A9">
            <w:pPr>
              <w:snapToGrid w:val="0"/>
              <w:spacing w:line="420" w:lineRule="exact"/>
              <w:rPr>
                <w:rFonts w:asciiTheme="minorEastAsia" w:hAnsiTheme="minorEastAsia" w:eastAsiaTheme="minorEastAsia"/>
                <w:szCs w:val="21"/>
              </w:rPr>
            </w:pPr>
            <w:r>
              <w:rPr>
                <w:rFonts w:hint="eastAsia" w:asciiTheme="minorEastAsia" w:hAnsiTheme="minorEastAsia" w:eastAsiaTheme="minorEastAsia"/>
                <w:szCs w:val="21"/>
              </w:rPr>
              <w:t>履约保证金指定缴纳账户：</w:t>
            </w:r>
          </w:p>
          <w:p w14:paraId="7066334F">
            <w:pPr>
              <w:snapToGrid w:val="0"/>
              <w:spacing w:line="420" w:lineRule="exact"/>
              <w:rPr>
                <w:rFonts w:asciiTheme="minorEastAsia" w:hAnsiTheme="minorEastAsia" w:eastAsiaTheme="minorEastAsia"/>
                <w:b/>
                <w:szCs w:val="21"/>
              </w:rPr>
            </w:pPr>
            <w:r>
              <w:rPr>
                <w:rFonts w:hint="eastAsia" w:asciiTheme="minorEastAsia" w:hAnsiTheme="minorEastAsia" w:eastAsiaTheme="minorEastAsia"/>
                <w:b/>
                <w:szCs w:val="21"/>
              </w:rPr>
              <w:t>开户名称：广西经贸职业技术学院</w:t>
            </w:r>
          </w:p>
          <w:p w14:paraId="5B6EFFA6">
            <w:pPr>
              <w:snapToGrid w:val="0"/>
              <w:spacing w:line="420" w:lineRule="exact"/>
              <w:rPr>
                <w:rFonts w:asciiTheme="minorEastAsia" w:hAnsiTheme="minorEastAsia" w:eastAsiaTheme="minorEastAsia"/>
                <w:b/>
                <w:szCs w:val="21"/>
              </w:rPr>
            </w:pPr>
            <w:r>
              <w:rPr>
                <w:rFonts w:hint="eastAsia" w:asciiTheme="minorEastAsia" w:hAnsiTheme="minorEastAsia" w:eastAsiaTheme="minorEastAsia"/>
                <w:b/>
                <w:szCs w:val="21"/>
              </w:rPr>
              <w:t xml:space="preserve">开户银行：中国建设银行南宁青山路支行 </w:t>
            </w:r>
          </w:p>
          <w:p w14:paraId="30158F32">
            <w:pPr>
              <w:snapToGrid w:val="0"/>
              <w:spacing w:line="420" w:lineRule="exact"/>
              <w:rPr>
                <w:rFonts w:asciiTheme="minorEastAsia" w:hAnsiTheme="minorEastAsia" w:eastAsiaTheme="minorEastAsia"/>
                <w:b/>
                <w:szCs w:val="21"/>
              </w:rPr>
            </w:pPr>
            <w:r>
              <w:rPr>
                <w:rFonts w:hint="eastAsia" w:asciiTheme="minorEastAsia" w:hAnsiTheme="minorEastAsia" w:eastAsiaTheme="minorEastAsia"/>
                <w:b/>
                <w:szCs w:val="21"/>
              </w:rPr>
              <w:t>银行账号：45001604556050701379</w:t>
            </w:r>
          </w:p>
          <w:p w14:paraId="2FD4C376">
            <w:pPr>
              <w:snapToGrid w:val="0"/>
              <w:spacing w:line="420" w:lineRule="exact"/>
              <w:rPr>
                <w:rFonts w:asciiTheme="minorEastAsia" w:hAnsiTheme="minorEastAsia" w:eastAsiaTheme="minorEastAsia"/>
                <w:b/>
                <w:szCs w:val="21"/>
              </w:rPr>
            </w:pPr>
            <w:r>
              <w:rPr>
                <w:rFonts w:hint="eastAsia" w:asciiTheme="minorEastAsia" w:hAnsiTheme="minorEastAsia" w:eastAsiaTheme="minorEastAsia"/>
                <w:b/>
                <w:szCs w:val="21"/>
              </w:rPr>
              <w:t>备注：</w:t>
            </w:r>
          </w:p>
          <w:p w14:paraId="06642870">
            <w:pPr>
              <w:snapToGrid w:val="0"/>
              <w:spacing w:line="420" w:lineRule="exact"/>
              <w:ind w:firstLine="464" w:firstLineChars="220"/>
              <w:rPr>
                <w:rFonts w:asciiTheme="minorEastAsia" w:hAnsiTheme="minorEastAsia" w:eastAsiaTheme="minorEastAsia"/>
                <w:b/>
                <w:bCs/>
                <w:szCs w:val="21"/>
              </w:rPr>
            </w:pPr>
            <w:r>
              <w:rPr>
                <w:rFonts w:hint="eastAsia" w:asciiTheme="minorEastAsia" w:hAnsiTheme="minorEastAsia" w:eastAsiaTheme="minorEastAsia"/>
                <w:b/>
                <w:bCs/>
                <w:szCs w:val="21"/>
              </w:rPr>
              <w:t>1. 根据《广西壮族自治区财政厅关于规范政府采购货物和服务项目保证金管理的通知》（桂财规〔2022〕8号）规定，鼓励采购人在与成交供应商签订政府采购合同时，免收履约保证金或者降低收取比例，有必要收取履约保证金的，收取的履约保证金不得超过政府采购合同金额的5%，对中小企业收取的履约保证金数额不得超过政府采购合同金额的2%。</w:t>
            </w:r>
          </w:p>
          <w:p w14:paraId="51F052F8">
            <w:pPr>
              <w:snapToGrid w:val="0"/>
              <w:spacing w:line="420" w:lineRule="exact"/>
              <w:ind w:firstLine="464" w:firstLineChars="220"/>
              <w:rPr>
                <w:rFonts w:asciiTheme="minorEastAsia" w:hAnsiTheme="minorEastAsia" w:eastAsiaTheme="minorEastAsia"/>
                <w:b/>
                <w:bCs/>
                <w:szCs w:val="21"/>
              </w:rPr>
            </w:pPr>
            <w:r>
              <w:rPr>
                <w:rFonts w:hint="eastAsia" w:asciiTheme="minorEastAsia" w:hAnsiTheme="minorEastAsia" w:eastAsiaTheme="minorEastAsia"/>
                <w:b/>
                <w:bCs/>
                <w:szCs w:val="21"/>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613F600E">
            <w:pPr>
              <w:snapToGrid w:val="0"/>
              <w:spacing w:line="420" w:lineRule="exact"/>
              <w:ind w:firstLine="464" w:firstLineChars="220"/>
              <w:rPr>
                <w:rFonts w:asciiTheme="minorEastAsia" w:hAnsiTheme="minorEastAsia" w:eastAsiaTheme="minorEastAsia"/>
                <w:b/>
                <w:bCs/>
                <w:szCs w:val="21"/>
              </w:rPr>
            </w:pPr>
            <w:r>
              <w:rPr>
                <w:rFonts w:hint="eastAsia" w:asciiTheme="minorEastAsia" w:hAnsiTheme="minorEastAsia" w:eastAsiaTheme="minorEastAsia"/>
                <w:b/>
                <w:bCs/>
                <w:szCs w:val="21"/>
              </w:rPr>
              <w:t>3.采用金融、担保机构出具保函的，必须为无条件保函，否则视为未按规定提交履约保证金。</w:t>
            </w:r>
          </w:p>
          <w:p w14:paraId="2F7F1E24">
            <w:pPr>
              <w:snapToGrid w:val="0"/>
              <w:spacing w:line="420" w:lineRule="exact"/>
              <w:ind w:firstLine="464" w:firstLineChars="220"/>
              <w:rPr>
                <w:rFonts w:asciiTheme="minorEastAsia" w:hAnsiTheme="minorEastAsia" w:eastAsiaTheme="minorEastAsia"/>
                <w:szCs w:val="21"/>
              </w:rPr>
            </w:pPr>
            <w:r>
              <w:rPr>
                <w:rFonts w:hint="eastAsia" w:asciiTheme="minorEastAsia" w:hAnsiTheme="minorEastAsia" w:eastAsiaTheme="minorEastAsia"/>
                <w:b/>
                <w:bCs/>
                <w:szCs w:val="21"/>
              </w:rPr>
              <w:t>4.供应商为联合体的，可由联合体任意一方或者联合体各方共同提交的履约保证金，视为有效履约保证金。</w:t>
            </w:r>
          </w:p>
        </w:tc>
      </w:tr>
      <w:tr w14:paraId="43014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85BD395">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16</w:t>
            </w:r>
          </w:p>
        </w:tc>
        <w:tc>
          <w:tcPr>
            <w:tcW w:w="8231" w:type="dxa"/>
            <w:vAlign w:val="center"/>
          </w:tcPr>
          <w:p w14:paraId="6E4D37BC">
            <w:pPr>
              <w:autoSpaceDE w:val="0"/>
              <w:autoSpaceDN w:val="0"/>
              <w:snapToGrid w:val="0"/>
              <w:spacing w:line="42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 xml:space="preserve">签订合同携带的证明材料： </w:t>
            </w:r>
          </w:p>
          <w:p w14:paraId="4C905E1C">
            <w:pPr>
              <w:autoSpaceDE w:val="0"/>
              <w:autoSpaceDN w:val="0"/>
              <w:snapToGrid w:val="0"/>
              <w:spacing w:line="42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委托代理人负责签订合同的，须携带有效的法定代表人授权委托书及其委托代理人身份证原件等其他资格证件。</w:t>
            </w:r>
          </w:p>
          <w:p w14:paraId="4CB6A9AB">
            <w:pPr>
              <w:snapToGrid w:val="0"/>
              <w:spacing w:line="420" w:lineRule="exact"/>
              <w:rPr>
                <w:rFonts w:cs="宋体" w:asciiTheme="minorEastAsia" w:hAnsiTheme="minorEastAsia" w:eastAsiaTheme="minorEastAsia"/>
                <w:szCs w:val="21"/>
              </w:rPr>
            </w:pPr>
            <w:r>
              <w:rPr>
                <w:rFonts w:hint="eastAsia" w:asciiTheme="minorEastAsia" w:hAnsiTheme="minorEastAsia" w:eastAsiaTheme="minorEastAsia"/>
                <w:szCs w:val="21"/>
              </w:rPr>
              <w:t>法定代表人负责签订合同的，须携带法定代表人</w:t>
            </w:r>
            <w:r>
              <w:rPr>
                <w:rFonts w:asciiTheme="minorEastAsia" w:hAnsiTheme="minorEastAsia" w:eastAsiaTheme="minorEastAsia"/>
                <w:szCs w:val="21"/>
              </w:rPr>
              <w:t>身份证明原件</w:t>
            </w:r>
            <w:r>
              <w:rPr>
                <w:rFonts w:hint="eastAsia" w:asciiTheme="minorEastAsia" w:hAnsiTheme="minorEastAsia" w:eastAsiaTheme="minorEastAsia"/>
                <w:szCs w:val="21"/>
              </w:rPr>
              <w:t>及</w:t>
            </w:r>
            <w:r>
              <w:rPr>
                <w:rFonts w:asciiTheme="minorEastAsia" w:hAnsiTheme="minorEastAsia" w:eastAsiaTheme="minorEastAsia"/>
                <w:szCs w:val="21"/>
              </w:rPr>
              <w:t>身份证原件</w:t>
            </w:r>
            <w:r>
              <w:rPr>
                <w:rFonts w:hint="eastAsia" w:asciiTheme="minorEastAsia" w:hAnsiTheme="minorEastAsia" w:eastAsiaTheme="minorEastAsia"/>
                <w:szCs w:val="21"/>
              </w:rPr>
              <w:t>等其他证明材料。</w:t>
            </w:r>
          </w:p>
        </w:tc>
      </w:tr>
      <w:tr w14:paraId="6AC9F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80C6E1">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17</w:t>
            </w:r>
          </w:p>
        </w:tc>
        <w:tc>
          <w:tcPr>
            <w:tcW w:w="8231" w:type="dxa"/>
            <w:vAlign w:val="center"/>
          </w:tcPr>
          <w:p w14:paraId="112EE8A6">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接收质疑函方式：以书面形式。</w:t>
            </w:r>
          </w:p>
          <w:p w14:paraId="3099FCA6">
            <w:pPr>
              <w:spacing w:line="360" w:lineRule="exact"/>
              <w:rPr>
                <w:rFonts w:cs="宋体" w:asciiTheme="minorEastAsia" w:hAnsiTheme="minorEastAsia" w:eastAsiaTheme="minorEastAsia"/>
              </w:rPr>
            </w:pPr>
            <w:r>
              <w:rPr>
                <w:rFonts w:hint="eastAsia" w:cs="宋体" w:asciiTheme="minorEastAsia" w:hAnsiTheme="minorEastAsia" w:eastAsiaTheme="minorEastAsia"/>
              </w:rPr>
              <w:t>质疑联系部门及联系方式：</w:t>
            </w:r>
          </w:p>
          <w:p w14:paraId="6F2224C2">
            <w:pPr>
              <w:spacing w:line="360" w:lineRule="exact"/>
              <w:rPr>
                <w:rFonts w:ascii="宋体" w:hAnsi="宋体" w:cs="宋体"/>
                <w:szCs w:val="21"/>
              </w:rPr>
            </w:pPr>
            <w:r>
              <w:rPr>
                <w:rFonts w:hint="eastAsia" w:ascii="宋体" w:hAnsi="宋体" w:cs="宋体"/>
                <w:szCs w:val="21"/>
              </w:rPr>
              <w:t>（1）广西众联工程项目管理有限公司；</w:t>
            </w:r>
          </w:p>
          <w:p w14:paraId="7C040FC4">
            <w:pPr>
              <w:spacing w:line="360" w:lineRule="exact"/>
              <w:rPr>
                <w:rFonts w:ascii="宋体" w:hAnsi="宋体" w:cs="宋体"/>
                <w:szCs w:val="21"/>
              </w:rPr>
            </w:pPr>
            <w:r>
              <w:rPr>
                <w:rFonts w:hint="eastAsia" w:ascii="宋体" w:hAnsi="宋体" w:cs="宋体"/>
                <w:szCs w:val="21"/>
              </w:rPr>
              <w:t>联系电话：0771-4308370，</w:t>
            </w:r>
          </w:p>
          <w:p w14:paraId="63EAEEBC">
            <w:pPr>
              <w:spacing w:line="360" w:lineRule="exact"/>
              <w:rPr>
                <w:rFonts w:ascii="宋体" w:hAnsi="宋体" w:cs="宋体"/>
                <w:szCs w:val="21"/>
              </w:rPr>
            </w:pPr>
            <w:r>
              <w:rPr>
                <w:rFonts w:hint="eastAsia" w:ascii="宋体" w:hAnsi="宋体" w:cs="宋体"/>
                <w:szCs w:val="21"/>
              </w:rPr>
              <w:t xml:space="preserve">通讯地址：南宁市江南区白沙大道53号松宇时代14A层 </w:t>
            </w:r>
          </w:p>
          <w:p w14:paraId="15214C7C">
            <w:pPr>
              <w:spacing w:line="360" w:lineRule="exact"/>
              <w:rPr>
                <w:rFonts w:ascii="宋体" w:hAnsi="宋体" w:cs="宋体"/>
                <w:szCs w:val="21"/>
              </w:rPr>
            </w:pPr>
            <w:r>
              <w:rPr>
                <w:rFonts w:hint="eastAsia" w:ascii="宋体" w:hAnsi="宋体" w:cs="宋体"/>
                <w:szCs w:val="21"/>
              </w:rPr>
              <w:t>（2）广西经贸职业技术学院；</w:t>
            </w:r>
          </w:p>
          <w:p w14:paraId="71BA2B0C">
            <w:pPr>
              <w:spacing w:line="360" w:lineRule="exact"/>
              <w:rPr>
                <w:rFonts w:ascii="宋体" w:hAnsi="宋体" w:cs="宋体"/>
                <w:szCs w:val="21"/>
              </w:rPr>
            </w:pPr>
            <w:r>
              <w:rPr>
                <w:rFonts w:hint="eastAsia" w:ascii="宋体" w:hAnsi="宋体" w:cs="宋体"/>
                <w:szCs w:val="21"/>
              </w:rPr>
              <w:t>联系电话：0771-5714002</w:t>
            </w:r>
          </w:p>
          <w:p w14:paraId="5FD46371">
            <w:pPr>
              <w:spacing w:line="360" w:lineRule="exact"/>
              <w:rPr>
                <w:rFonts w:ascii="宋体" w:hAnsi="宋体" w:cs="宋体"/>
                <w:szCs w:val="21"/>
              </w:rPr>
            </w:pPr>
            <w:r>
              <w:rPr>
                <w:rFonts w:hint="eastAsia" w:ascii="宋体" w:hAnsi="宋体" w:cs="宋体"/>
                <w:szCs w:val="21"/>
              </w:rPr>
              <w:t xml:space="preserve">通讯地址：南宁市青秀区青山路14号 </w:t>
            </w:r>
          </w:p>
          <w:p w14:paraId="4921C9DB">
            <w:pPr>
              <w:autoSpaceDE w:val="0"/>
              <w:autoSpaceDN w:val="0"/>
              <w:snapToGrid w:val="0"/>
              <w:spacing w:line="420" w:lineRule="exact"/>
              <w:ind w:hanging="10"/>
              <w:textAlignment w:val="bottom"/>
              <w:rPr>
                <w:rFonts w:asciiTheme="minorEastAsia" w:hAnsiTheme="minorEastAsia" w:eastAsiaTheme="minorEastAsia"/>
                <w:szCs w:val="21"/>
              </w:rPr>
            </w:pPr>
            <w:r>
              <w:rPr>
                <w:rFonts w:hint="eastAsia" w:cs="宋体" w:asciiTheme="minorEastAsia" w:hAnsiTheme="minorEastAsia" w:eastAsiaTheme="minorEastAsia"/>
                <w:szCs w:val="21"/>
              </w:rPr>
              <w:t>现场提交质疑办理业务时间（北京时间）：上午09点00分到12点 00分，下午15点00分到18点00分，业务时间以外、双休</w:t>
            </w:r>
            <w:r>
              <w:rPr>
                <w:rFonts w:hint="eastAsia" w:asciiTheme="minorEastAsia" w:hAnsiTheme="minorEastAsia" w:eastAsiaTheme="minorEastAsia"/>
                <w:szCs w:val="21"/>
              </w:rPr>
              <w:t>日和法定节假日不办理业务。</w:t>
            </w:r>
          </w:p>
        </w:tc>
      </w:tr>
      <w:tr w14:paraId="42FC0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B4FCB6">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18</w:t>
            </w:r>
          </w:p>
        </w:tc>
        <w:tc>
          <w:tcPr>
            <w:tcW w:w="8231" w:type="dxa"/>
            <w:vAlign w:val="center"/>
          </w:tcPr>
          <w:p w14:paraId="1E75FAF7">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1.是否收取采购代理费：</w:t>
            </w:r>
          </w:p>
          <w:p w14:paraId="4C0088E4">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☑是    □ 否</w:t>
            </w:r>
          </w:p>
          <w:p w14:paraId="59FD5CB5">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2.采购代理费支付方式：</w:t>
            </w:r>
          </w:p>
          <w:p w14:paraId="3ABC02FA">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☑本项目代理服务费由成交供应商领取成交通知书前，一次性向采购代理机构支付。</w:t>
            </w:r>
          </w:p>
          <w:p w14:paraId="33EFEE02">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□采购人支付。</w:t>
            </w:r>
          </w:p>
          <w:p w14:paraId="66E45483">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3.采购代理费收取标准：</w:t>
            </w:r>
          </w:p>
          <w:p w14:paraId="5C5C2CF4">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代理服务费成交金额在50万元以下的采购项目按4500元支付；成交金额50万元（含50）以上部分，按照国家发展改革委员会（原国家计委）文件“国家计委关于印发《招标代理服务收费管理暂行办法》的通知”（计价格【2002】1980号）及“国家发展改革委关于降低部分建设项目收费标准规范收费行为等有关问题的通知”（发改价格【2011】534号）规定的收费标准80%计取，由成交人在领取成交通知书前，一次性向采购代理机构付清。</w:t>
            </w:r>
          </w:p>
          <w:p w14:paraId="4C0A38F7">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4.采购代理费收取银行账户</w:t>
            </w:r>
          </w:p>
          <w:p w14:paraId="28471DFB">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开户名称：广西众联工程项目管理有限公司</w:t>
            </w:r>
          </w:p>
          <w:p w14:paraId="02CD7644">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开户银行：中国光大银行股份有限公司南宁民主支行</w:t>
            </w:r>
          </w:p>
          <w:p w14:paraId="447D7B9A">
            <w:p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银行账号：78900188000167866</w:t>
            </w:r>
          </w:p>
        </w:tc>
      </w:tr>
      <w:tr w14:paraId="63A31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8299338">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19</w:t>
            </w:r>
          </w:p>
        </w:tc>
        <w:tc>
          <w:tcPr>
            <w:tcW w:w="8231" w:type="dxa"/>
            <w:vAlign w:val="center"/>
          </w:tcPr>
          <w:p w14:paraId="1E4FA4EA">
            <w:pPr>
              <w:pStyle w:val="21"/>
              <w:snapToGrid w:val="0"/>
              <w:spacing w:line="420" w:lineRule="exact"/>
              <w:rPr>
                <w:rFonts w:cs="宋体" w:asciiTheme="minorEastAsia" w:hAnsiTheme="minorEastAsia" w:eastAsiaTheme="minorEastAsia"/>
                <w:kern w:val="2"/>
                <w:sz w:val="21"/>
              </w:rPr>
            </w:pPr>
            <w:r>
              <w:rPr>
                <w:rFonts w:hint="eastAsia" w:asciiTheme="minorEastAsia" w:hAnsiTheme="minorEastAsia" w:eastAsiaTheme="minorEastAsia"/>
                <w:sz w:val="21"/>
              </w:rPr>
              <w:t>解释：</w:t>
            </w:r>
            <w:r>
              <w:rPr>
                <w:rFonts w:asciiTheme="minorEastAsia" w:hAnsiTheme="minorEastAsia" w:eastAsiaTheme="minorEastAsia"/>
                <w:sz w:val="21"/>
              </w:rPr>
              <w:t>构成本</w:t>
            </w:r>
            <w:r>
              <w:rPr>
                <w:rFonts w:hint="eastAsia" w:asciiTheme="minorEastAsia" w:hAnsiTheme="minorEastAsia" w:eastAsiaTheme="minorEastAsia"/>
                <w:sz w:val="21"/>
              </w:rPr>
              <w:t>竞争性磋商文件</w:t>
            </w:r>
            <w:r>
              <w:rPr>
                <w:rFonts w:asciiTheme="minorEastAsia" w:hAnsiTheme="minorEastAsia" w:eastAsiaTheme="minorEastAsia"/>
                <w:sz w:val="21"/>
              </w:rPr>
              <w:t>的各个组成文件应互为解释，互为说明；除</w:t>
            </w:r>
            <w:r>
              <w:rPr>
                <w:rFonts w:hint="eastAsia" w:asciiTheme="minorEastAsia" w:hAnsiTheme="minorEastAsia" w:eastAsiaTheme="minorEastAsia"/>
                <w:sz w:val="21"/>
              </w:rPr>
              <w:t>竞争性磋商文件</w:t>
            </w:r>
            <w:r>
              <w:rPr>
                <w:rFonts w:asciiTheme="minorEastAsia" w:hAnsiTheme="minorEastAsia" w:eastAsiaTheme="minorEastAsia"/>
                <w:sz w:val="21"/>
              </w:rPr>
              <w:t>中有特别规定外，仅适用于</w:t>
            </w:r>
            <w:r>
              <w:rPr>
                <w:rFonts w:hint="eastAsia" w:asciiTheme="minorEastAsia" w:hAnsiTheme="minorEastAsia" w:eastAsiaTheme="minorEastAsia"/>
                <w:sz w:val="21"/>
              </w:rPr>
              <w:t>竞标</w:t>
            </w:r>
            <w:r>
              <w:rPr>
                <w:rFonts w:asciiTheme="minorEastAsia" w:hAnsiTheme="minorEastAsia" w:eastAsiaTheme="minorEastAsia"/>
                <w:sz w:val="21"/>
              </w:rPr>
              <w:t>阶段的规定，按</w:t>
            </w:r>
            <w:r>
              <w:rPr>
                <w:rFonts w:hint="eastAsia" w:asciiTheme="minorEastAsia" w:hAnsiTheme="minorEastAsia" w:eastAsiaTheme="minorEastAsia"/>
                <w:sz w:val="21"/>
              </w:rPr>
              <w:t>更正公告（澄清公告）</w:t>
            </w:r>
            <w:r>
              <w:rPr>
                <w:rFonts w:asciiTheme="minorEastAsia" w:hAnsiTheme="minorEastAsia" w:eastAsiaTheme="minorEastAsia"/>
                <w:sz w:val="21"/>
              </w:rPr>
              <w:t>、</w:t>
            </w:r>
            <w:r>
              <w:rPr>
                <w:rFonts w:hint="eastAsia" w:asciiTheme="minorEastAsia" w:hAnsiTheme="minorEastAsia" w:eastAsiaTheme="minorEastAsia"/>
                <w:sz w:val="21"/>
              </w:rPr>
              <w:t>竞争性磋商</w:t>
            </w:r>
            <w:r>
              <w:rPr>
                <w:rFonts w:asciiTheme="minorEastAsia" w:hAnsiTheme="minorEastAsia" w:eastAsiaTheme="minorEastAsia"/>
                <w:sz w:val="21"/>
              </w:rPr>
              <w:t>公告、</w:t>
            </w:r>
            <w:r>
              <w:rPr>
                <w:rFonts w:hint="eastAsia" w:asciiTheme="minorEastAsia" w:hAnsiTheme="minorEastAsia" w:eastAsiaTheme="minorEastAsia"/>
                <w:sz w:val="21"/>
              </w:rPr>
              <w:t>供应商</w:t>
            </w:r>
            <w:r>
              <w:rPr>
                <w:rFonts w:asciiTheme="minorEastAsia" w:hAnsiTheme="minorEastAsia" w:eastAsiaTheme="minorEastAsia"/>
                <w:sz w:val="21"/>
              </w:rPr>
              <w:t>须知</w:t>
            </w:r>
            <w:r>
              <w:rPr>
                <w:rFonts w:hint="eastAsia" w:asciiTheme="minorEastAsia" w:hAnsiTheme="minorEastAsia" w:eastAsiaTheme="minorEastAsia"/>
                <w:sz w:val="21"/>
              </w:rPr>
              <w:t>、采购需求</w:t>
            </w:r>
            <w:r>
              <w:rPr>
                <w:rFonts w:asciiTheme="minorEastAsia" w:hAnsiTheme="minorEastAsia" w:eastAsiaTheme="minorEastAsia"/>
                <w:sz w:val="21"/>
              </w:rPr>
              <w:t>、</w:t>
            </w:r>
            <w:r>
              <w:rPr>
                <w:rFonts w:hint="eastAsia" w:asciiTheme="minorEastAsia" w:hAnsiTheme="minorEastAsia" w:eastAsiaTheme="minorEastAsia"/>
                <w:sz w:val="21"/>
              </w:rPr>
              <w:t>评审程序、评审方法和评审标准</w:t>
            </w:r>
            <w:r>
              <w:rPr>
                <w:rFonts w:asciiTheme="minorEastAsia" w:hAnsiTheme="minorEastAsia" w:eastAsiaTheme="minorEastAsia"/>
                <w:sz w:val="21"/>
              </w:rPr>
              <w:t>、</w:t>
            </w:r>
            <w:r>
              <w:rPr>
                <w:rFonts w:hint="eastAsia" w:asciiTheme="minorEastAsia" w:hAnsiTheme="minorEastAsia" w:eastAsiaTheme="minorEastAsia"/>
                <w:sz w:val="21"/>
              </w:rPr>
              <w:t>响应</w:t>
            </w:r>
            <w:r>
              <w:rPr>
                <w:rFonts w:asciiTheme="minorEastAsia" w:hAnsiTheme="minorEastAsia" w:eastAsiaTheme="minorEastAsia"/>
                <w:sz w:val="21"/>
              </w:rPr>
              <w:t>文件格式</w:t>
            </w:r>
            <w:r>
              <w:rPr>
                <w:rFonts w:hint="eastAsia" w:asciiTheme="minorEastAsia" w:hAnsiTheme="minorEastAsia" w:eastAsiaTheme="minorEastAsia"/>
                <w:sz w:val="21"/>
              </w:rPr>
              <w:t>、拟定的合同文本</w:t>
            </w:r>
            <w:r>
              <w:rPr>
                <w:rFonts w:asciiTheme="minorEastAsia" w:hAnsiTheme="minorEastAsia" w:eastAsiaTheme="minorEastAsia"/>
                <w:sz w:val="21"/>
              </w:rPr>
              <w:t>的先后顺序解释；同一组成文件中就同一事项的规定或者约定不一致的，以编排顺序在后者为准；同一组成文件不同版本之间有不一致的，以形成时间在后者为准；</w:t>
            </w:r>
            <w:r>
              <w:rPr>
                <w:rFonts w:hint="eastAsia" w:asciiTheme="minorEastAsia" w:hAnsiTheme="minorEastAsia" w:eastAsiaTheme="minorEastAsia"/>
                <w:sz w:val="21"/>
              </w:rPr>
              <w:t>更正公告（澄清公告）</w:t>
            </w:r>
            <w:r>
              <w:rPr>
                <w:rFonts w:asciiTheme="minorEastAsia" w:hAnsiTheme="minorEastAsia" w:eastAsiaTheme="minorEastAsia"/>
                <w:sz w:val="21"/>
              </w:rPr>
              <w:t>与同步更新的</w:t>
            </w:r>
            <w:r>
              <w:rPr>
                <w:rFonts w:hint="eastAsia" w:asciiTheme="minorEastAsia" w:hAnsiTheme="minorEastAsia" w:eastAsiaTheme="minorEastAsia"/>
                <w:sz w:val="21"/>
              </w:rPr>
              <w:t>竞争性磋商文件</w:t>
            </w:r>
            <w:r>
              <w:rPr>
                <w:rFonts w:asciiTheme="minorEastAsia" w:hAnsiTheme="minorEastAsia" w:eastAsiaTheme="minorEastAsia"/>
                <w:sz w:val="21"/>
              </w:rPr>
              <w:t>不一致时以</w:t>
            </w:r>
            <w:r>
              <w:rPr>
                <w:rFonts w:hint="eastAsia" w:asciiTheme="minorEastAsia" w:hAnsiTheme="minorEastAsia" w:eastAsiaTheme="minorEastAsia"/>
                <w:sz w:val="21"/>
              </w:rPr>
              <w:t>更正公告（澄清公告）</w:t>
            </w:r>
            <w:r>
              <w:rPr>
                <w:rFonts w:asciiTheme="minorEastAsia" w:hAnsiTheme="minorEastAsia" w:eastAsiaTheme="minorEastAsia"/>
                <w:sz w:val="21"/>
              </w:rPr>
              <w:t>为准。按本款前述规定仍不能形成结论的，由</w:t>
            </w:r>
            <w:r>
              <w:rPr>
                <w:rFonts w:hint="eastAsia" w:asciiTheme="minorEastAsia" w:hAnsiTheme="minorEastAsia" w:eastAsiaTheme="minorEastAsia"/>
                <w:sz w:val="21"/>
              </w:rPr>
              <w:t>采购</w:t>
            </w:r>
            <w:r>
              <w:rPr>
                <w:rFonts w:asciiTheme="minorEastAsia" w:hAnsiTheme="minorEastAsia" w:eastAsiaTheme="minorEastAsia"/>
                <w:sz w:val="21"/>
              </w:rPr>
              <w:t>人</w:t>
            </w:r>
            <w:r>
              <w:rPr>
                <w:rFonts w:hint="eastAsia" w:asciiTheme="minorEastAsia" w:hAnsiTheme="minorEastAsia" w:eastAsiaTheme="minorEastAsia"/>
                <w:sz w:val="21"/>
              </w:rPr>
              <w:t>或者采购代理机构</w:t>
            </w:r>
            <w:r>
              <w:rPr>
                <w:rFonts w:asciiTheme="minorEastAsia" w:hAnsiTheme="minorEastAsia" w:eastAsiaTheme="minorEastAsia"/>
                <w:sz w:val="21"/>
              </w:rPr>
              <w:t>负责解释。</w:t>
            </w:r>
          </w:p>
        </w:tc>
      </w:tr>
      <w:tr w14:paraId="4EC46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F21BD2">
            <w:pPr>
              <w:snapToGrid w:val="0"/>
              <w:spacing w:line="4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20</w:t>
            </w:r>
          </w:p>
        </w:tc>
        <w:tc>
          <w:tcPr>
            <w:tcW w:w="8231" w:type="dxa"/>
            <w:vAlign w:val="center"/>
          </w:tcPr>
          <w:p w14:paraId="0CD2EAE9">
            <w:pPr>
              <w:pStyle w:val="21"/>
              <w:snapToGrid w:val="0"/>
              <w:spacing w:line="420" w:lineRule="exact"/>
              <w:rPr>
                <w:rFonts w:cs="宋体" w:asciiTheme="minorEastAsia" w:hAnsiTheme="minorEastAsia" w:eastAsiaTheme="minorEastAsia"/>
                <w:sz w:val="21"/>
              </w:rPr>
            </w:pPr>
            <w:r>
              <w:rPr>
                <w:rFonts w:hint="eastAsia" w:cs="宋体" w:asciiTheme="minorEastAsia" w:hAnsiTheme="minorEastAsia" w:eastAsiaTheme="minorEastAsia"/>
                <w:sz w:val="21"/>
              </w:rPr>
              <w:t>1.本</w:t>
            </w:r>
            <w:r>
              <w:rPr>
                <w:rFonts w:hint="eastAsia" w:asciiTheme="minorEastAsia" w:hAnsiTheme="minorEastAsia" w:eastAsiaTheme="minorEastAsia"/>
                <w:sz w:val="21"/>
              </w:rPr>
              <w:t>竞争性</w:t>
            </w:r>
            <w:r>
              <w:rPr>
                <w:rFonts w:hint="eastAsia" w:cs="宋体" w:asciiTheme="minorEastAsia" w:hAnsiTheme="minorEastAsia" w:eastAsiaTheme="minorEastAsia"/>
                <w:sz w:val="21"/>
              </w:rPr>
              <w:t>磋商文件中描述供应商的“公章”是指根据我国对公章的管理规定，用供应商法定主体行为名称制作的印章，除本</w:t>
            </w:r>
            <w:r>
              <w:rPr>
                <w:rFonts w:hint="eastAsia" w:asciiTheme="minorEastAsia" w:hAnsiTheme="minorEastAsia" w:eastAsiaTheme="minorEastAsia"/>
                <w:sz w:val="21"/>
              </w:rPr>
              <w:t>竞争性</w:t>
            </w:r>
            <w:r>
              <w:rPr>
                <w:rFonts w:hint="eastAsia" w:cs="宋体" w:asciiTheme="minorEastAsia" w:hAnsiTheme="minorEastAsia" w:eastAsiaTheme="minorEastAsia"/>
                <w:sz w:val="21"/>
              </w:rPr>
              <w:t>磋商文件有特殊规定外，供应商的财务章、部门章、分公司章、工会章、合同章、竞标/投标专用章、业务专用章及银行的转账章、现金收讫章、现金付讫章等其他形式印章均不能代替公章。</w:t>
            </w:r>
          </w:p>
          <w:p w14:paraId="6CB5C21C">
            <w:pPr>
              <w:pStyle w:val="21"/>
              <w:snapToGrid w:val="0"/>
              <w:spacing w:line="420" w:lineRule="exact"/>
              <w:rPr>
                <w:rFonts w:cs="宋体" w:asciiTheme="minorEastAsia" w:hAnsiTheme="minorEastAsia" w:eastAsiaTheme="minorEastAsia"/>
                <w:sz w:val="21"/>
              </w:rPr>
            </w:pPr>
            <w:r>
              <w:rPr>
                <w:rFonts w:hint="eastAsia" w:cs="宋体" w:asciiTheme="minorEastAsia" w:hAnsiTheme="minorEastAsia" w:eastAsiaTheme="minorEastAsia"/>
                <w:sz w:val="21"/>
              </w:rPr>
              <w:t>2.供应商为其他组织或者自然人时，本</w:t>
            </w:r>
            <w:r>
              <w:rPr>
                <w:rFonts w:hint="eastAsia" w:asciiTheme="minorEastAsia" w:hAnsiTheme="minorEastAsia" w:eastAsiaTheme="minorEastAsia"/>
                <w:sz w:val="21"/>
              </w:rPr>
              <w:t>竞争性</w:t>
            </w:r>
            <w:r>
              <w:rPr>
                <w:rFonts w:hint="eastAsia" w:cs="宋体" w:asciiTheme="minorEastAsia" w:hAnsiTheme="minorEastAsia" w:eastAsiaTheme="minorEastAsia"/>
                <w:sz w:val="21"/>
              </w:rPr>
              <w:t>磋商文件规定的法定代表人指负责人或者自然人。本</w:t>
            </w:r>
            <w:r>
              <w:rPr>
                <w:rFonts w:hint="eastAsia" w:asciiTheme="minorEastAsia" w:hAnsiTheme="minorEastAsia" w:eastAsiaTheme="minorEastAsia"/>
                <w:sz w:val="21"/>
              </w:rPr>
              <w:t>竞争性</w:t>
            </w:r>
            <w:r>
              <w:rPr>
                <w:rFonts w:hint="eastAsia" w:cs="宋体" w:asciiTheme="minorEastAsia" w:hAnsiTheme="minorEastAsia" w:eastAsiaTheme="minorEastAsia"/>
                <w:sz w:val="21"/>
              </w:rPr>
              <w:t>磋商文件所称负责人是指参加竞标的其他组织营业执照上的负责人，本</w:t>
            </w:r>
            <w:r>
              <w:rPr>
                <w:rFonts w:hint="eastAsia" w:asciiTheme="minorEastAsia" w:hAnsiTheme="minorEastAsia" w:eastAsiaTheme="minorEastAsia"/>
                <w:sz w:val="21"/>
              </w:rPr>
              <w:t>竞争性</w:t>
            </w:r>
            <w:r>
              <w:rPr>
                <w:rFonts w:hint="eastAsia" w:cs="宋体" w:asciiTheme="minorEastAsia" w:hAnsiTheme="minorEastAsia" w:eastAsiaTheme="minorEastAsia"/>
                <w:sz w:val="21"/>
              </w:rPr>
              <w:t>磋商文件所称自然人指参与竞标的自然人本人。</w:t>
            </w:r>
          </w:p>
          <w:p w14:paraId="533E5278">
            <w:pPr>
              <w:pStyle w:val="21"/>
              <w:snapToGrid w:val="0"/>
              <w:spacing w:line="420" w:lineRule="exact"/>
              <w:rPr>
                <w:rFonts w:cs="宋体" w:asciiTheme="minorEastAsia" w:hAnsiTheme="minorEastAsia" w:eastAsiaTheme="minorEastAsia"/>
                <w:sz w:val="21"/>
              </w:rPr>
            </w:pPr>
            <w:r>
              <w:rPr>
                <w:rFonts w:cs="宋体" w:asciiTheme="minorEastAsia" w:hAnsiTheme="minorEastAsia" w:eastAsiaTheme="minorEastAsia"/>
                <w:sz w:val="21"/>
              </w:rPr>
              <w:t>3.</w:t>
            </w:r>
            <w:r>
              <w:rPr>
                <w:rFonts w:hint="eastAsia" w:cs="宋体" w:asciiTheme="minorEastAsia" w:hAnsiTheme="minorEastAsia" w:eastAsiaTheme="minorEastAsia"/>
                <w:sz w:val="21"/>
              </w:rPr>
              <w:t>本</w:t>
            </w:r>
            <w:r>
              <w:rPr>
                <w:rFonts w:hint="eastAsia" w:asciiTheme="minorEastAsia" w:hAnsiTheme="minorEastAsia" w:eastAsiaTheme="minorEastAsia"/>
                <w:sz w:val="21"/>
              </w:rPr>
              <w:t>竞争性</w:t>
            </w:r>
            <w:r>
              <w:rPr>
                <w:rFonts w:hint="eastAsia" w:cs="宋体" w:asciiTheme="minorEastAsia" w:hAnsiTheme="minorEastAsia" w:eastAsiaTheme="minorEastAsia"/>
                <w:sz w:val="21"/>
              </w:rPr>
              <w:t>磋商文件中描述供应商的“签字”是指供应商的法定代表人或者其委托代理人亲自在文件规定签署处亲笔写上个人的名字的行为，私章、签字章、印鉴、影印等其他形式均不能代替亲笔签字。</w:t>
            </w:r>
          </w:p>
          <w:p w14:paraId="389BE369">
            <w:pPr>
              <w:pStyle w:val="21"/>
              <w:snapToGrid w:val="0"/>
              <w:spacing w:line="420" w:lineRule="exact"/>
              <w:rPr>
                <w:rFonts w:cs="宋体" w:asciiTheme="minorEastAsia" w:hAnsiTheme="minorEastAsia" w:eastAsiaTheme="minorEastAsia"/>
                <w:sz w:val="21"/>
              </w:rPr>
            </w:pPr>
            <w:r>
              <w:rPr>
                <w:rFonts w:cs="宋体" w:asciiTheme="minorEastAsia" w:hAnsiTheme="minorEastAsia" w:eastAsiaTheme="minorEastAsia"/>
                <w:sz w:val="21"/>
              </w:rPr>
              <w:t>4.</w:t>
            </w:r>
            <w:r>
              <w:rPr>
                <w:rFonts w:hint="eastAsia" w:cs="宋体" w:asciiTheme="minorEastAsia" w:hAnsiTheme="minorEastAsia" w:eastAsiaTheme="minorEastAsia"/>
                <w:sz w:val="21"/>
              </w:rPr>
              <w:t>自然人竞标的，</w:t>
            </w:r>
            <w:r>
              <w:rPr>
                <w:rFonts w:hint="eastAsia" w:asciiTheme="minorEastAsia" w:hAnsiTheme="minorEastAsia" w:eastAsiaTheme="minorEastAsia"/>
                <w:sz w:val="21"/>
              </w:rPr>
              <w:t>竞争性</w:t>
            </w:r>
            <w:r>
              <w:rPr>
                <w:rFonts w:hint="eastAsia" w:cs="宋体" w:asciiTheme="minorEastAsia" w:hAnsiTheme="minorEastAsia" w:eastAsiaTheme="minorEastAsia"/>
                <w:sz w:val="21"/>
              </w:rPr>
              <w:t>磋商文件规定盖公章处由自然人摁手指指印。</w:t>
            </w:r>
          </w:p>
          <w:p w14:paraId="4EC37CC5">
            <w:pPr>
              <w:pStyle w:val="21"/>
              <w:snapToGrid w:val="0"/>
              <w:spacing w:line="420" w:lineRule="exact"/>
              <w:rPr>
                <w:rFonts w:cs="宋体" w:asciiTheme="minorEastAsia" w:hAnsiTheme="minorEastAsia" w:eastAsiaTheme="minorEastAsia"/>
                <w:sz w:val="21"/>
              </w:rPr>
            </w:pPr>
            <w:r>
              <w:rPr>
                <w:rFonts w:hint="eastAsia" w:cs="宋体" w:asciiTheme="minorEastAsia" w:hAnsiTheme="minorEastAsia" w:eastAsiaTheme="minorEastAsia"/>
                <w:sz w:val="21"/>
              </w:rPr>
              <w:t>5</w:t>
            </w:r>
            <w:r>
              <w:rPr>
                <w:rFonts w:cs="宋体" w:asciiTheme="minorEastAsia" w:hAnsiTheme="minorEastAsia" w:eastAsiaTheme="minorEastAsia"/>
                <w:sz w:val="21"/>
              </w:rPr>
              <w:t>.</w:t>
            </w:r>
            <w:r>
              <w:rPr>
                <w:rFonts w:hint="eastAsia" w:cs="宋体" w:asciiTheme="minorEastAsia" w:hAnsiTheme="minorEastAsia" w:eastAsiaTheme="minorEastAsia"/>
                <w:sz w:val="21"/>
              </w:rPr>
              <w:t>本</w:t>
            </w:r>
            <w:r>
              <w:rPr>
                <w:rFonts w:hint="eastAsia" w:asciiTheme="minorEastAsia" w:hAnsiTheme="minorEastAsia" w:eastAsiaTheme="minorEastAsia"/>
                <w:sz w:val="21"/>
              </w:rPr>
              <w:t>竞争性</w:t>
            </w:r>
            <w:r>
              <w:rPr>
                <w:rFonts w:hint="eastAsia" w:cs="宋体" w:asciiTheme="minorEastAsia" w:hAnsiTheme="minorEastAsia" w:eastAsiaTheme="minorEastAsia"/>
                <w:sz w:val="21"/>
              </w:rPr>
              <w:t>磋商文件所称的“以上”“以下”“以内”“届满”，包括本数；所称的“不满”“超过”“以外”，不包括本数。</w:t>
            </w:r>
          </w:p>
        </w:tc>
      </w:tr>
    </w:tbl>
    <w:p w14:paraId="0E5B6A76">
      <w:pPr>
        <w:snapToGrid w:val="0"/>
        <w:spacing w:line="360" w:lineRule="auto"/>
        <w:jc w:val="center"/>
        <w:outlineLvl w:val="1"/>
        <w:rPr>
          <w:rFonts w:ascii="宋体" w:hAnsi="宋体"/>
          <w:b/>
          <w:sz w:val="32"/>
          <w:szCs w:val="32"/>
        </w:rPr>
      </w:pPr>
      <w:r>
        <w:rPr>
          <w:rFonts w:ascii="宋体" w:hAnsi="宋体"/>
          <w:b/>
          <w:sz w:val="32"/>
          <w:szCs w:val="32"/>
        </w:rPr>
        <w:br w:type="page"/>
      </w:r>
      <w:r>
        <w:rPr>
          <w:rStyle w:val="59"/>
          <w:rFonts w:hint="eastAsia"/>
        </w:rPr>
        <w:t>供应商须知正文</w:t>
      </w:r>
    </w:p>
    <w:p w14:paraId="4A6751FF">
      <w:pPr>
        <w:snapToGrid w:val="0"/>
        <w:spacing w:line="360" w:lineRule="auto"/>
        <w:jc w:val="center"/>
        <w:outlineLvl w:val="1"/>
        <w:rPr>
          <w:rFonts w:ascii="宋体" w:hAnsi="宋体"/>
          <w:b/>
          <w:sz w:val="32"/>
          <w:szCs w:val="32"/>
        </w:rPr>
      </w:pPr>
      <w:r>
        <w:rPr>
          <w:rFonts w:hint="eastAsia" w:ascii="宋体" w:hAnsi="宋体"/>
          <w:b/>
          <w:sz w:val="32"/>
          <w:szCs w:val="32"/>
        </w:rPr>
        <w:t>一、总则</w:t>
      </w:r>
    </w:p>
    <w:p w14:paraId="2A6B0C81">
      <w:pPr>
        <w:spacing w:line="400" w:lineRule="exact"/>
        <w:ind w:firstLine="424" w:firstLineChars="201"/>
        <w:rPr>
          <w:rFonts w:ascii="宋体" w:hAnsi="宋体" w:cs="宋体"/>
          <w:b/>
          <w:szCs w:val="21"/>
        </w:rPr>
      </w:pPr>
      <w:r>
        <w:rPr>
          <w:rFonts w:hint="eastAsia" w:ascii="宋体" w:hAnsi="宋体" w:cs="宋体"/>
          <w:b/>
          <w:szCs w:val="21"/>
        </w:rPr>
        <w:t>1. 适用范围</w:t>
      </w:r>
    </w:p>
    <w:p w14:paraId="64E138B6">
      <w:pPr>
        <w:spacing w:line="400" w:lineRule="exact"/>
        <w:ind w:firstLine="422" w:firstLineChars="201"/>
        <w:rPr>
          <w:rFonts w:ascii="宋体" w:hAnsi="宋体" w:cs="宋体"/>
          <w:szCs w:val="21"/>
        </w:rPr>
      </w:pPr>
      <w:r>
        <w:rPr>
          <w:rFonts w:hint="eastAsia" w:ascii="宋体" w:hAnsi="宋体" w:cs="宋体"/>
          <w:szCs w:val="21"/>
        </w:rPr>
        <w:t>1.1 本文件仅适用于本文件中所叙述的工程、货物和服务类采购项目。</w:t>
      </w:r>
    </w:p>
    <w:p w14:paraId="4FBD1CF5">
      <w:pPr>
        <w:spacing w:line="400" w:lineRule="exact"/>
        <w:ind w:firstLine="424" w:firstLineChars="201"/>
        <w:rPr>
          <w:rFonts w:ascii="宋体" w:hAnsi="宋体" w:cs="宋体"/>
          <w:b/>
          <w:szCs w:val="21"/>
        </w:rPr>
      </w:pPr>
      <w:r>
        <w:rPr>
          <w:rFonts w:hint="eastAsia" w:ascii="宋体" w:hAnsi="宋体" w:cs="宋体"/>
          <w:b/>
          <w:szCs w:val="21"/>
        </w:rPr>
        <w:t>2. 定义</w:t>
      </w:r>
    </w:p>
    <w:p w14:paraId="33DB6FC2">
      <w:pPr>
        <w:spacing w:line="400" w:lineRule="exact"/>
        <w:ind w:firstLine="422" w:firstLineChars="201"/>
        <w:rPr>
          <w:rFonts w:ascii="宋体" w:hAnsi="宋体" w:cs="宋体"/>
          <w:szCs w:val="21"/>
        </w:rPr>
      </w:pPr>
      <w:r>
        <w:rPr>
          <w:rFonts w:hint="eastAsia" w:ascii="宋体" w:hAnsi="宋体" w:cs="宋体"/>
          <w:szCs w:val="21"/>
        </w:rPr>
        <w:t>2.1“采购人”是指：</w:t>
      </w:r>
      <w:r>
        <w:rPr>
          <w:rFonts w:hint="eastAsia" w:ascii="宋体" w:hAnsi="宋体" w:cs="宋体"/>
          <w:szCs w:val="21"/>
          <w:u w:val="single"/>
        </w:rPr>
        <w:t>广西经贸职业技术学院</w:t>
      </w:r>
    </w:p>
    <w:p w14:paraId="59BF1D75">
      <w:pPr>
        <w:spacing w:line="400" w:lineRule="exact"/>
        <w:ind w:firstLine="422" w:firstLineChars="201"/>
        <w:rPr>
          <w:rFonts w:ascii="宋体" w:hAnsi="宋体" w:cs="宋体"/>
          <w:szCs w:val="21"/>
          <w:u w:val="single"/>
        </w:rPr>
      </w:pPr>
      <w:r>
        <w:rPr>
          <w:rFonts w:hint="eastAsia" w:ascii="宋体" w:hAnsi="宋体" w:cs="宋体"/>
          <w:szCs w:val="21"/>
        </w:rPr>
        <w:t>2.2“采购代理机构”是指：</w:t>
      </w:r>
      <w:r>
        <w:rPr>
          <w:rFonts w:hint="eastAsia" w:ascii="宋体" w:hAnsi="宋体" w:cs="宋体"/>
          <w:szCs w:val="21"/>
          <w:u w:val="single"/>
        </w:rPr>
        <w:t>广西众联工程项目管理有限公司</w:t>
      </w:r>
    </w:p>
    <w:p w14:paraId="301397D6">
      <w:pPr>
        <w:spacing w:line="400" w:lineRule="exact"/>
        <w:ind w:firstLine="422" w:firstLineChars="201"/>
        <w:rPr>
          <w:rFonts w:ascii="宋体" w:hAnsi="宋体" w:cs="宋体"/>
          <w:szCs w:val="21"/>
        </w:rPr>
      </w:pPr>
      <w:r>
        <w:rPr>
          <w:rFonts w:hint="eastAsia" w:ascii="宋体" w:hAnsi="宋体" w:cs="宋体"/>
          <w:szCs w:val="21"/>
        </w:rPr>
        <w:t>2.3“供应商”是指响应本文件要求，参加磋商的法人或者其他组织。如果该供应商在本次磋商中成交，即成为“成交供应商”。</w:t>
      </w:r>
    </w:p>
    <w:p w14:paraId="508074EC">
      <w:pPr>
        <w:spacing w:line="400" w:lineRule="exact"/>
        <w:ind w:firstLine="422" w:firstLineChars="201"/>
        <w:rPr>
          <w:rFonts w:ascii="宋体" w:hAnsi="宋体" w:cs="宋体"/>
          <w:szCs w:val="21"/>
        </w:rPr>
      </w:pPr>
      <w:r>
        <w:rPr>
          <w:rFonts w:hint="eastAsia" w:ascii="宋体" w:hAnsi="宋体" w:cs="宋体"/>
          <w:szCs w:val="21"/>
        </w:rPr>
        <w:t>2.4“货物”是指各种形态和种类的物品，包括原材料、燃料、设备、产品等。</w:t>
      </w:r>
    </w:p>
    <w:p w14:paraId="6A4B3E58">
      <w:pPr>
        <w:spacing w:line="400" w:lineRule="exact"/>
        <w:ind w:firstLine="422" w:firstLineChars="201"/>
        <w:rPr>
          <w:rFonts w:ascii="宋体" w:hAnsi="宋体" w:cs="宋体"/>
          <w:szCs w:val="21"/>
        </w:rPr>
      </w:pPr>
      <w:r>
        <w:rPr>
          <w:rFonts w:hint="eastAsia" w:ascii="宋体" w:hAnsi="宋体" w:cs="宋体"/>
          <w:szCs w:val="21"/>
        </w:rPr>
        <w:t>2.5“服务”是指除货物和工程以外的其他采购对象。</w:t>
      </w:r>
    </w:p>
    <w:p w14:paraId="1657E0D5">
      <w:pPr>
        <w:spacing w:line="400" w:lineRule="exact"/>
        <w:ind w:firstLine="422" w:firstLineChars="201"/>
        <w:rPr>
          <w:rFonts w:ascii="宋体" w:hAnsi="宋体" w:cs="宋体"/>
          <w:szCs w:val="21"/>
        </w:rPr>
      </w:pPr>
      <w:r>
        <w:rPr>
          <w:rFonts w:hint="eastAsia" w:ascii="宋体" w:hAnsi="宋体" w:cs="宋体"/>
          <w:szCs w:val="21"/>
        </w:rPr>
        <w:t>2.6“响应文件”是指：供应商根据本文件要求，编制包含报价、技术和服务等所有内容的响应文件。</w:t>
      </w:r>
    </w:p>
    <w:p w14:paraId="75B2973F">
      <w:pPr>
        <w:spacing w:line="400" w:lineRule="exact"/>
        <w:ind w:firstLine="424" w:firstLineChars="201"/>
        <w:rPr>
          <w:rFonts w:ascii="宋体" w:hAnsi="宋体" w:cs="宋体"/>
          <w:b/>
          <w:szCs w:val="21"/>
        </w:rPr>
      </w:pPr>
      <w:r>
        <w:rPr>
          <w:rFonts w:hint="eastAsia" w:ascii="宋体" w:hAnsi="宋体" w:cs="宋体"/>
          <w:b/>
          <w:szCs w:val="21"/>
        </w:rPr>
        <w:t>3. 供应商的基本条件</w:t>
      </w:r>
    </w:p>
    <w:p w14:paraId="278F76AF">
      <w:pPr>
        <w:spacing w:line="400" w:lineRule="exact"/>
        <w:ind w:firstLine="422" w:firstLineChars="201"/>
        <w:rPr>
          <w:rFonts w:ascii="宋体" w:hAnsi="宋体" w:cs="宋体"/>
          <w:szCs w:val="21"/>
        </w:rPr>
      </w:pPr>
      <w:r>
        <w:rPr>
          <w:rFonts w:hint="eastAsia" w:ascii="宋体" w:hAnsi="宋体" w:cs="宋体"/>
          <w:szCs w:val="21"/>
        </w:rPr>
        <w:t>3.1 供应商资格：</w:t>
      </w:r>
    </w:p>
    <w:p w14:paraId="530FA922">
      <w:pPr>
        <w:snapToGrid w:val="0"/>
        <w:spacing w:line="420" w:lineRule="exact"/>
        <w:ind w:firstLine="420" w:firstLineChars="200"/>
        <w:rPr>
          <w:rFonts w:ascii="宋体" w:hAnsi="宋体" w:cs="宋体"/>
          <w:lang w:bidi="ar"/>
        </w:rPr>
      </w:pPr>
      <w:r>
        <w:rPr>
          <w:rFonts w:hint="eastAsia" w:ascii="宋体" w:hAnsi="宋体" w:cs="宋体"/>
          <w:lang w:bidi="ar"/>
        </w:rPr>
        <w:t>（1）</w:t>
      </w:r>
      <w:r>
        <w:rPr>
          <w:rFonts w:hint="eastAsia" w:ascii="宋体" w:hAnsi="宋体"/>
          <w:szCs w:val="21"/>
        </w:rPr>
        <w:t>满足《中华人民共和国政府采购法》第二十二条规定；</w:t>
      </w:r>
    </w:p>
    <w:p w14:paraId="279CA0B6">
      <w:pPr>
        <w:snapToGrid w:val="0"/>
        <w:spacing w:line="420" w:lineRule="exact"/>
        <w:ind w:firstLine="420" w:firstLineChars="200"/>
        <w:rPr>
          <w:rFonts w:ascii="宋体" w:hAnsi="宋体"/>
          <w:szCs w:val="21"/>
        </w:rPr>
      </w:pPr>
      <w:r>
        <w:rPr>
          <w:rFonts w:hint="eastAsia" w:ascii="宋体" w:hAnsi="宋体"/>
          <w:szCs w:val="21"/>
        </w:rPr>
        <w:t>（2）本项目的特定资格要求：</w:t>
      </w:r>
      <w:r>
        <w:rPr>
          <w:rFonts w:hint="eastAsia"/>
          <w:szCs w:val="21"/>
        </w:rPr>
        <w:t>无；</w:t>
      </w:r>
    </w:p>
    <w:p w14:paraId="6C658E60">
      <w:pPr>
        <w:widowControl/>
        <w:adjustRightInd w:val="0"/>
        <w:snapToGrid w:val="0"/>
        <w:spacing w:line="360" w:lineRule="auto"/>
        <w:ind w:firstLine="420" w:firstLineChars="200"/>
        <w:jc w:val="left"/>
        <w:rPr>
          <w:rFonts w:ascii="宋体" w:hAnsi="宋体" w:cs="宋体"/>
          <w:lang w:bidi="ar"/>
        </w:rPr>
      </w:pPr>
      <w:r>
        <w:rPr>
          <w:rFonts w:hint="eastAsia" w:ascii="宋体" w:hAnsi="宋体" w:cs="宋体"/>
          <w:lang w:bidi="ar"/>
        </w:rPr>
        <w:t>（3）单位负责人为同一人或者存在控股、管理关系的不同单位，不得参加同一合同项下的采购活动。</w:t>
      </w:r>
    </w:p>
    <w:p w14:paraId="2744C524">
      <w:pPr>
        <w:widowControl/>
        <w:adjustRightInd w:val="0"/>
        <w:snapToGrid w:val="0"/>
        <w:spacing w:line="360" w:lineRule="auto"/>
        <w:ind w:firstLine="420" w:firstLineChars="200"/>
        <w:jc w:val="left"/>
        <w:rPr>
          <w:rFonts w:ascii="宋体" w:hAnsi="宋体" w:cs="宋体"/>
          <w:lang w:bidi="ar"/>
        </w:rPr>
      </w:pPr>
      <w:r>
        <w:rPr>
          <w:rFonts w:hint="eastAsia" w:ascii="宋体" w:hAnsi="宋体" w:cs="宋体"/>
          <w:lang w:bidi="ar"/>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采购活动。</w:t>
      </w:r>
    </w:p>
    <w:p w14:paraId="0AFD10F4">
      <w:pPr>
        <w:widowControl/>
        <w:adjustRightInd w:val="0"/>
        <w:snapToGrid w:val="0"/>
        <w:spacing w:line="360" w:lineRule="auto"/>
        <w:ind w:firstLine="420" w:firstLineChars="200"/>
        <w:jc w:val="left"/>
        <w:rPr>
          <w:rFonts w:ascii="宋体" w:hAnsi="宋体" w:cs="宋体"/>
          <w:lang w:bidi="ar"/>
        </w:rPr>
      </w:pPr>
      <w:r>
        <w:rPr>
          <w:rFonts w:hint="eastAsia" w:ascii="宋体" w:hAnsi="宋体" w:cs="宋体"/>
          <w:lang w:bidi="ar"/>
        </w:rPr>
        <w:t>（5）本项目不接受未购买本磋商文件的供应商参加磋商。</w:t>
      </w:r>
    </w:p>
    <w:p w14:paraId="4995B3A5">
      <w:pPr>
        <w:widowControl/>
        <w:adjustRightInd w:val="0"/>
        <w:snapToGrid w:val="0"/>
        <w:spacing w:line="360" w:lineRule="auto"/>
        <w:ind w:firstLine="420" w:firstLineChars="200"/>
        <w:jc w:val="left"/>
        <w:rPr>
          <w:rFonts w:ascii="宋体" w:hAnsi="宋体" w:cs="宋体"/>
          <w:lang w:bidi="ar"/>
        </w:rPr>
      </w:pPr>
      <w:r>
        <w:rPr>
          <w:rFonts w:hint="eastAsia" w:ascii="宋体" w:hAnsi="宋体" w:cs="宋体"/>
          <w:lang w:bidi="ar"/>
        </w:rPr>
        <w:t xml:space="preserve">（6）本项目不接受联合体磋商。  </w:t>
      </w:r>
    </w:p>
    <w:p w14:paraId="3C587692">
      <w:pPr>
        <w:spacing w:line="400" w:lineRule="exact"/>
        <w:ind w:firstLine="422" w:firstLineChars="201"/>
        <w:rPr>
          <w:rFonts w:ascii="宋体" w:hAnsi="宋体" w:cs="宋体"/>
          <w:szCs w:val="21"/>
        </w:rPr>
      </w:pPr>
      <w:r>
        <w:rPr>
          <w:rFonts w:hint="eastAsia" w:ascii="宋体" w:hAnsi="宋体" w:cs="宋体"/>
          <w:szCs w:val="21"/>
        </w:rPr>
        <w:t>3.2 其他：无。</w:t>
      </w:r>
    </w:p>
    <w:p w14:paraId="40C41D6E">
      <w:pPr>
        <w:spacing w:line="400" w:lineRule="exact"/>
        <w:ind w:firstLine="424" w:firstLineChars="201"/>
        <w:rPr>
          <w:rFonts w:ascii="宋体" w:hAnsi="宋体" w:cs="宋体"/>
          <w:b/>
          <w:szCs w:val="21"/>
        </w:rPr>
      </w:pPr>
      <w:r>
        <w:rPr>
          <w:rFonts w:hint="eastAsia" w:ascii="宋体" w:hAnsi="宋体" w:cs="宋体"/>
          <w:b/>
          <w:szCs w:val="21"/>
        </w:rPr>
        <w:t>4. 磋商费用</w:t>
      </w:r>
    </w:p>
    <w:p w14:paraId="36D4E7E1">
      <w:pPr>
        <w:spacing w:line="400" w:lineRule="exact"/>
        <w:ind w:firstLine="422" w:firstLineChars="201"/>
        <w:rPr>
          <w:rFonts w:ascii="宋体" w:hAnsi="宋体" w:cs="宋体"/>
          <w:szCs w:val="21"/>
        </w:rPr>
      </w:pPr>
      <w:r>
        <w:rPr>
          <w:rFonts w:hint="eastAsia" w:ascii="宋体" w:hAnsi="宋体" w:cs="宋体"/>
          <w:szCs w:val="21"/>
        </w:rPr>
        <w:t>4.1不论磋商结果如何，供应商应自行承担所有与编写和提交响应文件有关的费用，采购人和采购代理机构在任何情况下无义务和责任承担此类费用。</w:t>
      </w:r>
    </w:p>
    <w:p w14:paraId="5706655E">
      <w:pPr>
        <w:spacing w:line="400" w:lineRule="exact"/>
        <w:ind w:firstLine="422" w:firstLineChars="201"/>
        <w:rPr>
          <w:rFonts w:asciiTheme="minorEastAsia" w:hAnsiTheme="minorEastAsia" w:eastAsiaTheme="minorEastAsia"/>
          <w:szCs w:val="21"/>
        </w:rPr>
      </w:pPr>
      <w:r>
        <w:rPr>
          <w:rFonts w:hint="eastAsia" w:ascii="宋体" w:hAnsi="宋体" w:cs="宋体"/>
          <w:szCs w:val="21"/>
        </w:rPr>
        <w:t>4.2本项目代理服务费：见本须知前附表。</w:t>
      </w:r>
    </w:p>
    <w:p w14:paraId="1FF77235">
      <w:pPr>
        <w:snapToGrid w:val="0"/>
        <w:spacing w:line="420" w:lineRule="exact"/>
        <w:jc w:val="center"/>
        <w:outlineLvl w:val="1"/>
        <w:rPr>
          <w:rFonts w:ascii="宋体" w:hAnsi="宋体"/>
          <w:b/>
          <w:sz w:val="32"/>
          <w:szCs w:val="32"/>
        </w:rPr>
      </w:pPr>
      <w:bookmarkStart w:id="76" w:name="_Toc254970675"/>
      <w:bookmarkStart w:id="77" w:name="_Toc254970534"/>
      <w:r>
        <w:rPr>
          <w:rFonts w:hint="eastAsia" w:ascii="宋体" w:hAnsi="宋体"/>
          <w:b/>
          <w:sz w:val="32"/>
          <w:szCs w:val="32"/>
        </w:rPr>
        <w:t>二、磋商文件</w:t>
      </w:r>
      <w:bookmarkEnd w:id="76"/>
      <w:bookmarkEnd w:id="77"/>
    </w:p>
    <w:p w14:paraId="4E433158">
      <w:pPr>
        <w:spacing w:line="400" w:lineRule="exact"/>
        <w:ind w:firstLine="424" w:firstLineChars="201"/>
        <w:rPr>
          <w:rFonts w:ascii="宋体" w:hAnsi="宋体" w:cs="宋体"/>
          <w:b/>
          <w:szCs w:val="21"/>
        </w:rPr>
      </w:pPr>
      <w:r>
        <w:rPr>
          <w:rFonts w:hint="eastAsia" w:ascii="宋体" w:hAnsi="宋体" w:cs="宋体"/>
          <w:b/>
          <w:szCs w:val="21"/>
        </w:rPr>
        <w:t>5.磋商文件的组成</w:t>
      </w:r>
    </w:p>
    <w:p w14:paraId="42FB3538">
      <w:pPr>
        <w:spacing w:line="400" w:lineRule="exact"/>
        <w:ind w:firstLine="422" w:firstLineChars="201"/>
        <w:rPr>
          <w:rFonts w:ascii="宋体" w:hAnsi="宋体" w:cs="宋体"/>
          <w:szCs w:val="21"/>
        </w:rPr>
      </w:pPr>
      <w:r>
        <w:rPr>
          <w:rFonts w:hint="eastAsia" w:ascii="宋体" w:hAnsi="宋体" w:cs="宋体"/>
          <w:szCs w:val="21"/>
        </w:rPr>
        <w:t>（1）磋商公告；</w:t>
      </w:r>
    </w:p>
    <w:p w14:paraId="0A283071">
      <w:pPr>
        <w:spacing w:line="400" w:lineRule="exact"/>
        <w:ind w:firstLine="422" w:firstLineChars="201"/>
        <w:rPr>
          <w:rFonts w:ascii="宋体" w:hAnsi="宋体" w:cs="宋体"/>
          <w:szCs w:val="21"/>
        </w:rPr>
      </w:pPr>
      <w:r>
        <w:rPr>
          <w:rFonts w:hint="eastAsia" w:ascii="宋体" w:hAnsi="宋体" w:cs="宋体"/>
          <w:szCs w:val="21"/>
        </w:rPr>
        <w:t>（2）磋商须知；</w:t>
      </w:r>
    </w:p>
    <w:p w14:paraId="39480B26">
      <w:pPr>
        <w:spacing w:line="400" w:lineRule="exact"/>
        <w:ind w:firstLine="422" w:firstLineChars="201"/>
        <w:rPr>
          <w:rFonts w:ascii="宋体" w:hAnsi="宋体" w:cs="宋体"/>
          <w:szCs w:val="21"/>
        </w:rPr>
      </w:pPr>
      <w:r>
        <w:rPr>
          <w:rFonts w:hint="eastAsia" w:ascii="宋体" w:hAnsi="宋体" w:cs="宋体"/>
          <w:szCs w:val="21"/>
        </w:rPr>
        <w:t>（3）项目需求；</w:t>
      </w:r>
    </w:p>
    <w:p w14:paraId="7B7BEC8C">
      <w:pPr>
        <w:spacing w:line="400" w:lineRule="exact"/>
        <w:ind w:firstLine="422" w:firstLineChars="201"/>
        <w:rPr>
          <w:rFonts w:ascii="宋体" w:hAnsi="宋体" w:cs="宋体"/>
          <w:szCs w:val="21"/>
        </w:rPr>
      </w:pPr>
      <w:r>
        <w:rPr>
          <w:rFonts w:hint="eastAsia" w:ascii="宋体" w:hAnsi="宋体" w:cs="宋体"/>
          <w:szCs w:val="21"/>
        </w:rPr>
        <w:t>（4）评审办法和定标标准；</w:t>
      </w:r>
    </w:p>
    <w:p w14:paraId="7EAD938E">
      <w:pPr>
        <w:spacing w:line="400" w:lineRule="exact"/>
        <w:ind w:firstLine="422" w:firstLineChars="201"/>
        <w:rPr>
          <w:rFonts w:ascii="宋体" w:hAnsi="宋体" w:cs="宋体"/>
          <w:szCs w:val="21"/>
        </w:rPr>
      </w:pPr>
      <w:r>
        <w:rPr>
          <w:rFonts w:hint="eastAsia" w:ascii="宋体" w:hAnsi="宋体" w:cs="宋体"/>
          <w:szCs w:val="21"/>
        </w:rPr>
        <w:t>（5）响应文件格式；</w:t>
      </w:r>
    </w:p>
    <w:p w14:paraId="1DF727CD">
      <w:pPr>
        <w:spacing w:line="400" w:lineRule="exact"/>
        <w:ind w:firstLine="422" w:firstLineChars="201"/>
        <w:rPr>
          <w:rFonts w:ascii="宋体" w:hAnsi="宋体" w:cs="宋体"/>
          <w:szCs w:val="21"/>
        </w:rPr>
      </w:pPr>
      <w:r>
        <w:rPr>
          <w:rFonts w:hint="eastAsia" w:ascii="宋体" w:hAnsi="宋体" w:cs="宋体"/>
          <w:szCs w:val="21"/>
        </w:rPr>
        <w:t>（6）合同主要条款；</w:t>
      </w:r>
    </w:p>
    <w:p w14:paraId="2DA2CFB3">
      <w:pPr>
        <w:spacing w:line="400" w:lineRule="exact"/>
        <w:ind w:firstLine="422" w:firstLineChars="201"/>
        <w:rPr>
          <w:rFonts w:ascii="宋体" w:hAnsi="宋体" w:cs="宋体"/>
          <w:szCs w:val="21"/>
        </w:rPr>
      </w:pPr>
      <w:r>
        <w:rPr>
          <w:rFonts w:hint="eastAsia" w:ascii="宋体" w:hAnsi="宋体" w:cs="宋体"/>
          <w:szCs w:val="21"/>
        </w:rPr>
        <w:t>（7）其他资料。</w:t>
      </w:r>
    </w:p>
    <w:p w14:paraId="5F8A232D">
      <w:pPr>
        <w:spacing w:line="400" w:lineRule="exact"/>
        <w:ind w:firstLine="424" w:firstLineChars="201"/>
        <w:rPr>
          <w:rFonts w:ascii="宋体" w:hAnsi="宋体" w:cs="宋体"/>
          <w:b/>
          <w:szCs w:val="21"/>
        </w:rPr>
      </w:pPr>
      <w:r>
        <w:rPr>
          <w:rFonts w:hint="eastAsia" w:ascii="宋体" w:hAnsi="宋体" w:cs="宋体"/>
          <w:b/>
          <w:szCs w:val="21"/>
        </w:rPr>
        <w:t>6.磋商文件的澄清或修改</w:t>
      </w:r>
    </w:p>
    <w:p w14:paraId="77E71DA4">
      <w:pPr>
        <w:spacing w:line="400" w:lineRule="exact"/>
        <w:ind w:firstLine="422" w:firstLineChars="201"/>
        <w:rPr>
          <w:rFonts w:ascii="宋体" w:hAnsi="宋体" w:cs="宋体"/>
          <w:szCs w:val="21"/>
        </w:rPr>
      </w:pPr>
      <w:r>
        <w:rPr>
          <w:rFonts w:hint="eastAsia" w:ascii="宋体" w:hAnsi="宋体" w:cs="宋体"/>
          <w:szCs w:val="21"/>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80CF43A">
      <w:pPr>
        <w:spacing w:line="400" w:lineRule="exact"/>
        <w:ind w:firstLine="424" w:firstLineChars="201"/>
        <w:rPr>
          <w:rFonts w:ascii="宋体" w:hAnsi="宋体" w:cs="宋体"/>
          <w:b/>
          <w:szCs w:val="21"/>
        </w:rPr>
      </w:pPr>
      <w:r>
        <w:rPr>
          <w:rFonts w:hint="eastAsia" w:ascii="宋体" w:hAnsi="宋体" w:cs="宋体"/>
          <w:b/>
          <w:szCs w:val="21"/>
        </w:rPr>
        <w:t>7.现场考察或答疑会</w:t>
      </w:r>
    </w:p>
    <w:p w14:paraId="48F21910">
      <w:pPr>
        <w:spacing w:line="400" w:lineRule="exact"/>
        <w:ind w:firstLine="422" w:firstLineChars="201"/>
        <w:rPr>
          <w:rFonts w:ascii="宋体" w:hAnsi="宋体" w:cs="宋体"/>
          <w:snapToGrid w:val="0"/>
          <w:kern w:val="0"/>
          <w:szCs w:val="21"/>
        </w:rPr>
      </w:pPr>
      <w:r>
        <w:rPr>
          <w:rFonts w:hint="eastAsia" w:ascii="宋体" w:hAnsi="宋体" w:cs="宋体"/>
          <w:szCs w:val="21"/>
        </w:rPr>
        <w:t>7.1采购人、采购代理机构可以视采购项目的具体情况，按须知前附表的规定组织供应商进行现场考察或召开磋商前答疑会，但不得单独或分别组织只有一个供应商参加的现场考察和答疑会。</w:t>
      </w:r>
    </w:p>
    <w:p w14:paraId="09D9ABE3">
      <w:pPr>
        <w:spacing w:line="400" w:lineRule="exact"/>
        <w:ind w:firstLine="422" w:firstLineChars="201"/>
        <w:rPr>
          <w:rFonts w:ascii="宋体" w:hAnsi="宋体" w:cs="宋体"/>
          <w:szCs w:val="21"/>
        </w:rPr>
      </w:pPr>
      <w:r>
        <w:rPr>
          <w:rFonts w:hint="eastAsia" w:ascii="宋体" w:hAnsi="宋体" w:cs="宋体"/>
          <w:szCs w:val="21"/>
        </w:rPr>
        <w:t>7.2供应商考察现场或参加答疑会发生的费用自理。</w:t>
      </w:r>
    </w:p>
    <w:p w14:paraId="28703764">
      <w:pPr>
        <w:spacing w:line="400" w:lineRule="exact"/>
        <w:ind w:firstLine="422" w:firstLineChars="201"/>
        <w:rPr>
          <w:rFonts w:asciiTheme="minorEastAsia" w:hAnsiTheme="minorEastAsia" w:eastAsiaTheme="minorEastAsia"/>
          <w:szCs w:val="21"/>
        </w:rPr>
      </w:pPr>
      <w:r>
        <w:rPr>
          <w:rFonts w:hint="eastAsia" w:ascii="宋体" w:hAnsi="宋体" w:cs="宋体"/>
          <w:szCs w:val="21"/>
        </w:rPr>
        <w:t>7.3供应商自行负责在考察现场或参加答疑会中所发生的人员伤亡和财产损失。</w:t>
      </w:r>
    </w:p>
    <w:p w14:paraId="4E77E310">
      <w:pPr>
        <w:numPr>
          <w:ilvl w:val="0"/>
          <w:numId w:val="2"/>
        </w:numPr>
        <w:snapToGrid w:val="0"/>
        <w:spacing w:line="420" w:lineRule="exact"/>
        <w:jc w:val="center"/>
        <w:outlineLvl w:val="1"/>
        <w:rPr>
          <w:rFonts w:ascii="宋体" w:hAnsi="宋体"/>
          <w:b/>
          <w:sz w:val="32"/>
          <w:szCs w:val="32"/>
        </w:rPr>
      </w:pPr>
      <w:r>
        <w:rPr>
          <w:rFonts w:hint="eastAsia" w:ascii="宋体" w:hAnsi="宋体"/>
          <w:b/>
          <w:sz w:val="32"/>
          <w:szCs w:val="32"/>
        </w:rPr>
        <w:t>响应文件的编制</w:t>
      </w:r>
    </w:p>
    <w:p w14:paraId="4E485C39">
      <w:pPr>
        <w:spacing w:line="400" w:lineRule="exact"/>
        <w:ind w:firstLine="424" w:firstLineChars="201"/>
        <w:rPr>
          <w:rFonts w:ascii="宋体" w:hAnsi="宋体" w:cs="宋体"/>
          <w:b/>
          <w:szCs w:val="21"/>
        </w:rPr>
      </w:pPr>
      <w:r>
        <w:rPr>
          <w:rFonts w:hint="eastAsia" w:ascii="宋体" w:hAnsi="宋体" w:cs="宋体"/>
          <w:b/>
          <w:szCs w:val="21"/>
        </w:rPr>
        <w:t>8.响应文件的组成</w:t>
      </w:r>
    </w:p>
    <w:p w14:paraId="6E2F2C08">
      <w:pPr>
        <w:spacing w:line="400" w:lineRule="exact"/>
        <w:ind w:firstLine="422" w:firstLineChars="201"/>
        <w:rPr>
          <w:rFonts w:ascii="宋体" w:hAnsi="宋体" w:cs="宋体"/>
          <w:szCs w:val="21"/>
        </w:rPr>
      </w:pPr>
      <w:r>
        <w:rPr>
          <w:rFonts w:hint="eastAsia" w:ascii="宋体" w:hAnsi="宋体" w:cs="宋体"/>
          <w:szCs w:val="21"/>
        </w:rPr>
        <w:t>响应文件应分为资格文件、报价商务技术文件两个部分组成。</w:t>
      </w:r>
      <w:r>
        <w:rPr>
          <w:rFonts w:hint="eastAsia" w:ascii="宋体" w:hAnsi="宋体" w:cs="宋体"/>
          <w:b/>
          <w:szCs w:val="21"/>
        </w:rPr>
        <w:t>（下列文件均须加盖供应商公章；应该有的必须提供，如未提供，磋商小组有权拒绝其响应文件）</w:t>
      </w:r>
    </w:p>
    <w:p w14:paraId="14EC820F">
      <w:pPr>
        <w:spacing w:line="400" w:lineRule="exact"/>
        <w:ind w:firstLine="422" w:firstLineChars="201"/>
        <w:rPr>
          <w:rFonts w:ascii="宋体" w:hAnsi="宋体" w:cs="宋体"/>
          <w:szCs w:val="21"/>
        </w:rPr>
      </w:pPr>
      <w:r>
        <w:rPr>
          <w:rFonts w:hint="eastAsia" w:ascii="宋体" w:hAnsi="宋体" w:cs="宋体"/>
          <w:szCs w:val="21"/>
        </w:rPr>
        <w:t>8.1资格文件：具体材料详见本须知前附表。</w:t>
      </w:r>
    </w:p>
    <w:p w14:paraId="103EEBBA">
      <w:pPr>
        <w:spacing w:line="400" w:lineRule="exact"/>
        <w:ind w:firstLine="422" w:firstLineChars="201"/>
        <w:rPr>
          <w:rFonts w:ascii="宋体" w:hAnsi="宋体" w:cs="宋体"/>
          <w:b/>
          <w:szCs w:val="21"/>
        </w:rPr>
      </w:pPr>
      <w:r>
        <w:rPr>
          <w:rFonts w:hint="eastAsia" w:ascii="宋体" w:hAnsi="宋体" w:cs="宋体"/>
          <w:szCs w:val="21"/>
        </w:rPr>
        <w:t>8.2 报价商务技术文件：具体材料详见本须知前附表。</w:t>
      </w:r>
    </w:p>
    <w:p w14:paraId="4AB3C0C9">
      <w:pPr>
        <w:spacing w:line="400" w:lineRule="exact"/>
        <w:ind w:firstLine="424" w:firstLineChars="201"/>
        <w:rPr>
          <w:rFonts w:ascii="宋体" w:hAnsi="宋体" w:cs="宋体"/>
          <w:b/>
          <w:szCs w:val="21"/>
        </w:rPr>
      </w:pPr>
      <w:r>
        <w:rPr>
          <w:rFonts w:hint="eastAsia" w:ascii="宋体" w:hAnsi="宋体" w:cs="宋体"/>
          <w:b/>
          <w:szCs w:val="21"/>
        </w:rPr>
        <w:t>9. 响应文件编制要求</w:t>
      </w:r>
    </w:p>
    <w:p w14:paraId="3DB7E816">
      <w:pPr>
        <w:spacing w:line="400" w:lineRule="exact"/>
        <w:ind w:firstLine="422" w:firstLineChars="201"/>
        <w:rPr>
          <w:rFonts w:ascii="宋体" w:hAnsi="宋体" w:cs="宋体"/>
          <w:szCs w:val="21"/>
        </w:rPr>
      </w:pPr>
      <w:r>
        <w:rPr>
          <w:rFonts w:hint="eastAsia" w:ascii="宋体" w:hAnsi="宋体" w:cs="宋体"/>
          <w:szCs w:val="21"/>
        </w:rPr>
        <w:t>9.1供应商对响应文件的编制应按要求装订和封装。</w:t>
      </w:r>
    </w:p>
    <w:p w14:paraId="0FEC65A9">
      <w:pPr>
        <w:spacing w:line="400" w:lineRule="exact"/>
        <w:ind w:firstLine="422" w:firstLineChars="201"/>
        <w:rPr>
          <w:rFonts w:ascii="宋体" w:hAnsi="宋体" w:cs="宋体"/>
          <w:szCs w:val="21"/>
        </w:rPr>
      </w:pPr>
      <w:r>
        <w:rPr>
          <w:rFonts w:hint="eastAsia" w:ascii="宋体" w:hAnsi="宋体" w:cs="宋体"/>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14:paraId="729E31B0">
      <w:pPr>
        <w:spacing w:line="400" w:lineRule="exact"/>
        <w:ind w:firstLine="422" w:firstLineChars="201"/>
        <w:rPr>
          <w:rFonts w:ascii="宋体" w:hAnsi="宋体" w:cs="宋体"/>
          <w:szCs w:val="21"/>
        </w:rPr>
      </w:pPr>
      <w:r>
        <w:rPr>
          <w:rFonts w:hint="eastAsia" w:ascii="宋体" w:hAnsi="宋体" w:cs="宋体"/>
          <w:szCs w:val="21"/>
        </w:rPr>
        <w:t>9.3供应商应认真阅读、并充分理解本文件的全部内容（包括所有的补充、修改内容），承诺并履行本文件中各项条款规定及要求。</w:t>
      </w:r>
    </w:p>
    <w:p w14:paraId="7F4F3A51">
      <w:pPr>
        <w:spacing w:line="400" w:lineRule="exact"/>
        <w:ind w:firstLine="422" w:firstLineChars="201"/>
        <w:rPr>
          <w:rFonts w:ascii="宋体" w:hAnsi="宋体" w:cs="宋体"/>
          <w:szCs w:val="21"/>
        </w:rPr>
      </w:pPr>
      <w:r>
        <w:rPr>
          <w:rFonts w:hint="eastAsia" w:ascii="宋体" w:hAnsi="宋体" w:cs="宋体"/>
          <w:szCs w:val="21"/>
        </w:rPr>
        <w:t>9.4响应文件必须按本文件的全部内容，包括所有的补充通知及附件进行编制。</w:t>
      </w:r>
    </w:p>
    <w:p w14:paraId="70EB4639">
      <w:pPr>
        <w:spacing w:line="400" w:lineRule="exact"/>
        <w:ind w:firstLine="422" w:firstLineChars="201"/>
        <w:rPr>
          <w:rFonts w:ascii="宋体" w:hAnsi="宋体" w:cs="宋体"/>
          <w:szCs w:val="21"/>
        </w:rPr>
      </w:pPr>
      <w:r>
        <w:rPr>
          <w:rFonts w:hint="eastAsia" w:ascii="宋体" w:hAnsi="宋体" w:cs="宋体"/>
          <w:szCs w:val="21"/>
        </w:rPr>
        <w:t>9.5如因供应商只填写和提供了本文件要求的部分内容和附件，而给评审造成困难，其可能导致的结果和责任由供应商自行承担。</w:t>
      </w:r>
    </w:p>
    <w:p w14:paraId="3E7AE011">
      <w:pPr>
        <w:spacing w:line="400" w:lineRule="exact"/>
        <w:ind w:firstLine="424" w:firstLineChars="201"/>
        <w:rPr>
          <w:rFonts w:ascii="宋体" w:hAnsi="宋体" w:cs="宋体"/>
          <w:b/>
          <w:szCs w:val="21"/>
        </w:rPr>
      </w:pPr>
      <w:r>
        <w:rPr>
          <w:rFonts w:hint="eastAsia" w:ascii="宋体" w:hAnsi="宋体" w:cs="宋体"/>
          <w:b/>
          <w:szCs w:val="21"/>
        </w:rPr>
        <w:t>10. 计量单位</w:t>
      </w:r>
    </w:p>
    <w:p w14:paraId="4A797E6D">
      <w:pPr>
        <w:spacing w:line="400" w:lineRule="exact"/>
        <w:ind w:firstLine="422" w:firstLineChars="201"/>
        <w:rPr>
          <w:rFonts w:ascii="宋体" w:hAnsi="宋体" w:cs="宋体"/>
          <w:szCs w:val="21"/>
        </w:rPr>
      </w:pPr>
      <w:r>
        <w:rPr>
          <w:rFonts w:hint="eastAsia" w:ascii="宋体" w:hAnsi="宋体" w:cs="宋体"/>
          <w:szCs w:val="21"/>
        </w:rPr>
        <w:t>10.1除技术要求中另有规定外，本文件所要求使用的计量单位均应采用国家法定计量单位。</w:t>
      </w:r>
    </w:p>
    <w:p w14:paraId="38DC5BAB">
      <w:pPr>
        <w:spacing w:line="400" w:lineRule="exact"/>
        <w:ind w:firstLine="424" w:firstLineChars="201"/>
        <w:rPr>
          <w:rFonts w:ascii="宋体" w:hAnsi="宋体" w:cs="宋体"/>
          <w:b/>
          <w:szCs w:val="21"/>
        </w:rPr>
      </w:pPr>
      <w:r>
        <w:rPr>
          <w:rFonts w:hint="eastAsia" w:ascii="宋体" w:hAnsi="宋体" w:cs="宋体"/>
          <w:b/>
          <w:szCs w:val="21"/>
        </w:rPr>
        <w:t>11.响应文件有效期</w:t>
      </w:r>
    </w:p>
    <w:p w14:paraId="591AB2B4">
      <w:pPr>
        <w:spacing w:line="400" w:lineRule="exact"/>
        <w:ind w:firstLine="422" w:firstLineChars="201"/>
        <w:rPr>
          <w:rFonts w:ascii="宋体" w:hAnsi="宋体" w:cs="宋体"/>
          <w:szCs w:val="21"/>
        </w:rPr>
      </w:pPr>
      <w:r>
        <w:rPr>
          <w:rFonts w:hint="eastAsia" w:ascii="宋体" w:hAnsi="宋体" w:cs="宋体"/>
          <w:szCs w:val="21"/>
        </w:rPr>
        <w:t>11.1响应文件有效期按须知前附表规定的期限，有效期不足的响应文件按无效处理。</w:t>
      </w:r>
    </w:p>
    <w:p w14:paraId="6F42C1CA">
      <w:pPr>
        <w:spacing w:line="400" w:lineRule="exact"/>
        <w:ind w:firstLine="422" w:firstLineChars="201"/>
        <w:rPr>
          <w:rFonts w:ascii="宋体" w:hAnsi="宋体" w:cs="宋体"/>
          <w:szCs w:val="21"/>
        </w:rPr>
      </w:pPr>
      <w:bookmarkStart w:id="78" w:name="_Toc254970681"/>
      <w:bookmarkStart w:id="79" w:name="_Toc254970540"/>
      <w:r>
        <w:rPr>
          <w:rFonts w:hint="eastAsia" w:ascii="宋体" w:hAnsi="宋体" w:cs="宋体"/>
          <w:szCs w:val="21"/>
        </w:rPr>
        <w:t>11.2未成交的响应文件有效期内均应保持有效。</w:t>
      </w:r>
      <w:bookmarkEnd w:id="78"/>
      <w:bookmarkEnd w:id="79"/>
    </w:p>
    <w:p w14:paraId="0236CB4C">
      <w:pPr>
        <w:spacing w:line="400" w:lineRule="exact"/>
        <w:ind w:firstLine="422" w:firstLineChars="201"/>
        <w:rPr>
          <w:rFonts w:ascii="宋体" w:hAnsi="宋体" w:cs="宋体"/>
          <w:szCs w:val="21"/>
        </w:rPr>
      </w:pPr>
      <w:r>
        <w:rPr>
          <w:rFonts w:hint="eastAsia" w:ascii="宋体" w:hAnsi="宋体" w:cs="宋体"/>
          <w:szCs w:val="21"/>
        </w:rPr>
        <w:t>11.3成交供应商的响应文件自响应文件递交截止之日起至合同履行完毕止均应保持有效。</w:t>
      </w:r>
    </w:p>
    <w:p w14:paraId="06F9DA1C">
      <w:pPr>
        <w:spacing w:line="400" w:lineRule="exact"/>
        <w:ind w:firstLine="424" w:firstLineChars="201"/>
        <w:rPr>
          <w:rFonts w:ascii="宋体" w:hAnsi="宋体" w:cs="宋体"/>
          <w:b/>
          <w:szCs w:val="21"/>
        </w:rPr>
      </w:pPr>
      <w:r>
        <w:rPr>
          <w:rFonts w:hint="eastAsia" w:ascii="宋体" w:hAnsi="宋体" w:cs="宋体"/>
          <w:b/>
          <w:szCs w:val="21"/>
        </w:rPr>
        <w:t>12.磋商保证金</w:t>
      </w:r>
    </w:p>
    <w:p w14:paraId="56FB2F02">
      <w:pPr>
        <w:snapToGrid w:val="0"/>
        <w:spacing w:line="400" w:lineRule="exact"/>
        <w:ind w:firstLine="422" w:firstLineChars="201"/>
        <w:rPr>
          <w:rFonts w:ascii="宋体" w:hAnsi="宋体" w:cs="宋体"/>
          <w:szCs w:val="21"/>
        </w:rPr>
      </w:pPr>
      <w:r>
        <w:rPr>
          <w:rFonts w:hint="eastAsia" w:ascii="宋体" w:hAnsi="宋体" w:cs="宋体"/>
          <w:szCs w:val="21"/>
        </w:rPr>
        <w:t>12.1 详见磋商须知前附表</w:t>
      </w:r>
    </w:p>
    <w:p w14:paraId="1109DA22">
      <w:pPr>
        <w:spacing w:line="400" w:lineRule="exact"/>
        <w:ind w:firstLine="424" w:firstLineChars="201"/>
        <w:rPr>
          <w:rFonts w:ascii="宋体" w:hAnsi="宋体" w:cs="宋体"/>
          <w:b/>
          <w:szCs w:val="21"/>
        </w:rPr>
      </w:pPr>
      <w:r>
        <w:rPr>
          <w:rFonts w:hint="eastAsia" w:ascii="宋体" w:hAnsi="宋体" w:cs="宋体"/>
          <w:b/>
          <w:szCs w:val="21"/>
        </w:rPr>
        <w:t>13.磋商报价要求</w:t>
      </w:r>
    </w:p>
    <w:p w14:paraId="2DB6C393">
      <w:pPr>
        <w:snapToGrid w:val="0"/>
        <w:spacing w:line="400" w:lineRule="exact"/>
        <w:ind w:firstLine="422" w:firstLineChars="201"/>
        <w:rPr>
          <w:rFonts w:ascii="宋体" w:hAnsi="宋体" w:cs="宋体"/>
          <w:szCs w:val="21"/>
        </w:rPr>
      </w:pPr>
      <w:r>
        <w:rPr>
          <w:rFonts w:hint="eastAsia" w:ascii="宋体" w:hAnsi="宋体" w:cs="宋体"/>
          <w:szCs w:val="21"/>
        </w:rPr>
        <w:t>13.1报价是履行合同的最终价格。</w:t>
      </w:r>
    </w:p>
    <w:p w14:paraId="28339BCE">
      <w:pPr>
        <w:snapToGrid w:val="0"/>
        <w:spacing w:line="400" w:lineRule="exact"/>
        <w:ind w:firstLine="422" w:firstLineChars="201"/>
        <w:rPr>
          <w:rFonts w:ascii="宋体" w:hAnsi="宋体" w:cs="宋体"/>
          <w:b/>
          <w:szCs w:val="21"/>
        </w:rPr>
      </w:pPr>
      <w:r>
        <w:rPr>
          <w:rFonts w:hint="eastAsia" w:ascii="宋体" w:hAnsi="宋体" w:cs="宋体"/>
          <w:szCs w:val="21"/>
        </w:rPr>
        <w:t>13.2成交供应商负责本项目所需货物的制造、运输、售后服务等全部工作。</w:t>
      </w:r>
    </w:p>
    <w:p w14:paraId="2C701D1E">
      <w:pPr>
        <w:spacing w:line="400" w:lineRule="exact"/>
        <w:ind w:firstLine="424" w:firstLineChars="201"/>
        <w:rPr>
          <w:rFonts w:ascii="宋体" w:hAnsi="宋体" w:cs="宋体"/>
          <w:b/>
          <w:szCs w:val="21"/>
        </w:rPr>
      </w:pPr>
      <w:r>
        <w:rPr>
          <w:rFonts w:hint="eastAsia" w:ascii="宋体" w:hAnsi="宋体" w:cs="宋体"/>
          <w:b/>
          <w:szCs w:val="21"/>
        </w:rPr>
        <w:t>14.响应文件的份数、封装</w:t>
      </w:r>
    </w:p>
    <w:p w14:paraId="529A0C3A">
      <w:pPr>
        <w:snapToGrid w:val="0"/>
        <w:spacing w:line="400" w:lineRule="exact"/>
        <w:ind w:firstLine="422" w:firstLineChars="201"/>
        <w:rPr>
          <w:rFonts w:ascii="宋体" w:hAnsi="宋体" w:cs="宋体"/>
          <w:szCs w:val="21"/>
        </w:rPr>
      </w:pPr>
      <w:r>
        <w:rPr>
          <w:rFonts w:hint="eastAsia" w:ascii="宋体" w:hAnsi="宋体" w:cs="宋体"/>
          <w:szCs w:val="21"/>
        </w:rPr>
        <w:t>14.响应文件的份数和封装</w:t>
      </w:r>
    </w:p>
    <w:p w14:paraId="05E4B5BD">
      <w:pPr>
        <w:snapToGrid w:val="0"/>
        <w:spacing w:line="400" w:lineRule="exact"/>
        <w:ind w:firstLine="422" w:firstLineChars="201"/>
        <w:rPr>
          <w:rFonts w:ascii="宋体" w:hAnsi="宋体" w:cs="宋体"/>
          <w:szCs w:val="21"/>
        </w:rPr>
      </w:pPr>
      <w:r>
        <w:rPr>
          <w:rFonts w:hint="eastAsia" w:ascii="宋体" w:hAnsi="宋体" w:cs="宋体"/>
          <w:szCs w:val="21"/>
        </w:rPr>
        <w:t>14.1供应商应将响应文件按“资格文件”和“报价商务技术文件”顺序编制并装订成册，响应文件的正、副本全部装入一个文件袋（盒、箱）中并加以密封，封口处必须加盖供应商单位公章以示密封。</w:t>
      </w:r>
    </w:p>
    <w:p w14:paraId="6833C5C8">
      <w:pPr>
        <w:snapToGrid w:val="0"/>
        <w:spacing w:line="400" w:lineRule="exact"/>
        <w:ind w:firstLine="422" w:firstLineChars="201"/>
        <w:rPr>
          <w:rFonts w:ascii="宋体" w:hAnsi="宋体" w:cs="宋体"/>
          <w:szCs w:val="21"/>
        </w:rPr>
      </w:pPr>
      <w:r>
        <w:rPr>
          <w:rFonts w:hint="eastAsia" w:ascii="宋体" w:hAnsi="宋体" w:cs="宋体"/>
          <w:szCs w:val="21"/>
        </w:rPr>
        <w:t>14.2响应文件的信封上应写明：</w:t>
      </w:r>
    </w:p>
    <w:p w14:paraId="61C18869">
      <w:pPr>
        <w:snapToGrid w:val="0"/>
        <w:spacing w:line="400" w:lineRule="exact"/>
        <w:ind w:firstLine="422" w:firstLineChars="201"/>
        <w:rPr>
          <w:rFonts w:ascii="宋体" w:hAnsi="宋体" w:cs="宋体"/>
          <w:szCs w:val="21"/>
        </w:rPr>
      </w:pPr>
      <w:r>
        <w:rPr>
          <w:rFonts w:hint="eastAsia" w:ascii="宋体" w:hAnsi="宋体" w:cs="宋体"/>
          <w:szCs w:val="21"/>
        </w:rPr>
        <w:t>（1）竞争性磋商项目编号、分标号；</w:t>
      </w:r>
    </w:p>
    <w:p w14:paraId="6E72C2B3">
      <w:pPr>
        <w:snapToGrid w:val="0"/>
        <w:spacing w:line="400" w:lineRule="exact"/>
        <w:ind w:firstLine="422" w:firstLineChars="201"/>
        <w:rPr>
          <w:rFonts w:ascii="宋体" w:hAnsi="宋体" w:cs="宋体"/>
          <w:szCs w:val="21"/>
        </w:rPr>
      </w:pPr>
      <w:r>
        <w:rPr>
          <w:rFonts w:hint="eastAsia" w:ascii="宋体" w:hAnsi="宋体" w:cs="宋体"/>
          <w:szCs w:val="21"/>
        </w:rPr>
        <w:t>（2）竞争性磋商项目名称；</w:t>
      </w:r>
    </w:p>
    <w:p w14:paraId="3DAC2791">
      <w:pPr>
        <w:snapToGrid w:val="0"/>
        <w:spacing w:line="400" w:lineRule="exact"/>
        <w:ind w:firstLine="422" w:firstLineChars="201"/>
        <w:rPr>
          <w:rFonts w:ascii="宋体" w:hAnsi="宋体" w:cs="宋体"/>
          <w:szCs w:val="21"/>
        </w:rPr>
      </w:pPr>
      <w:r>
        <w:rPr>
          <w:rFonts w:hint="eastAsia" w:ascii="宋体" w:hAnsi="宋体" w:cs="宋体"/>
          <w:szCs w:val="21"/>
        </w:rPr>
        <w:t>（3）供应商名称、地址、邮编。</w:t>
      </w:r>
    </w:p>
    <w:p w14:paraId="3CFFD2A7">
      <w:pPr>
        <w:snapToGrid w:val="0"/>
        <w:spacing w:line="400" w:lineRule="exact"/>
        <w:ind w:firstLine="422" w:firstLineChars="201"/>
        <w:rPr>
          <w:rFonts w:ascii="宋体" w:hAnsi="宋体" w:cs="宋体"/>
          <w:szCs w:val="21"/>
        </w:rPr>
      </w:pPr>
      <w:r>
        <w:rPr>
          <w:rFonts w:hint="eastAsia" w:ascii="宋体" w:hAnsi="宋体" w:cs="宋体"/>
          <w:szCs w:val="21"/>
        </w:rPr>
        <w:t>14.3未按规定密封或标记的响应文件将被拒绝接收，由此造成的后果由供应商承担。</w:t>
      </w:r>
    </w:p>
    <w:p w14:paraId="0FEB068E">
      <w:pPr>
        <w:snapToGrid w:val="0"/>
        <w:spacing w:line="400" w:lineRule="exact"/>
        <w:ind w:firstLine="424" w:firstLineChars="201"/>
        <w:rPr>
          <w:rFonts w:ascii="宋体" w:hAnsi="宋体" w:cs="宋体"/>
          <w:b/>
          <w:szCs w:val="21"/>
        </w:rPr>
      </w:pPr>
      <w:r>
        <w:rPr>
          <w:rFonts w:hint="eastAsia" w:ascii="宋体" w:hAnsi="宋体" w:cs="宋体"/>
          <w:b/>
          <w:szCs w:val="21"/>
        </w:rPr>
        <w:t>15. 响应文件的递交</w:t>
      </w:r>
    </w:p>
    <w:p w14:paraId="59EC5BFB">
      <w:pPr>
        <w:snapToGrid w:val="0"/>
        <w:spacing w:line="400" w:lineRule="exact"/>
        <w:ind w:firstLine="422" w:firstLineChars="201"/>
        <w:rPr>
          <w:rFonts w:ascii="宋体" w:hAnsi="宋体" w:cs="宋体"/>
          <w:szCs w:val="21"/>
        </w:rPr>
      </w:pPr>
      <w:r>
        <w:rPr>
          <w:rFonts w:hint="eastAsia" w:ascii="宋体" w:hAnsi="宋体" w:cs="宋体"/>
          <w:szCs w:val="21"/>
        </w:rPr>
        <w:t>15.1所有响应文件应于本须知前附表规定的时间前递交到磋商文件中指定地点。</w:t>
      </w:r>
    </w:p>
    <w:p w14:paraId="087A4EA3">
      <w:pPr>
        <w:spacing w:line="400" w:lineRule="exact"/>
        <w:ind w:firstLine="422" w:firstLineChars="201"/>
        <w:rPr>
          <w:rFonts w:ascii="宋体" w:hAnsi="宋体" w:cs="宋体"/>
          <w:szCs w:val="21"/>
        </w:rPr>
      </w:pPr>
      <w:r>
        <w:rPr>
          <w:rFonts w:hint="eastAsia" w:ascii="宋体" w:hAnsi="宋体" w:cs="宋体"/>
          <w:szCs w:val="21"/>
        </w:rPr>
        <w:t>15.2若遇到递交响应文件过多造成部分供应商在截止时间前已抵达本须知前附表规定指定递交地点但未能签到的情况时，采购人或采购代理机构将按规定在响应文件递交截止时间截止时关闭大门，继续受理供应商进入递交响应文件，供应商递交响应文件的时间应以其进入磋商文件指定场所的时间为准。</w:t>
      </w:r>
    </w:p>
    <w:p w14:paraId="11EB275E">
      <w:pPr>
        <w:spacing w:line="400" w:lineRule="exact"/>
        <w:ind w:firstLine="424" w:firstLineChars="201"/>
        <w:rPr>
          <w:rFonts w:ascii="宋体" w:hAnsi="宋体" w:cs="宋体"/>
          <w:b/>
          <w:szCs w:val="21"/>
        </w:rPr>
      </w:pPr>
      <w:r>
        <w:rPr>
          <w:rFonts w:hint="eastAsia" w:ascii="宋体" w:hAnsi="宋体" w:cs="宋体"/>
          <w:b/>
          <w:szCs w:val="21"/>
        </w:rPr>
        <w:t>16.响应文件的补充、修改</w:t>
      </w:r>
    </w:p>
    <w:p w14:paraId="1EF148E1">
      <w:pPr>
        <w:spacing w:line="400" w:lineRule="exact"/>
        <w:ind w:firstLine="422" w:firstLineChars="201"/>
        <w:rPr>
          <w:rFonts w:ascii="宋体" w:hAnsi="宋体" w:cs="宋体"/>
          <w:szCs w:val="21"/>
        </w:rPr>
      </w:pPr>
      <w:r>
        <w:rPr>
          <w:rFonts w:hint="eastAsia" w:ascii="宋体" w:hAnsi="宋体" w:cs="宋体"/>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7EDABF9">
      <w:pPr>
        <w:spacing w:line="400" w:lineRule="exact"/>
        <w:ind w:firstLine="424" w:firstLineChars="201"/>
        <w:rPr>
          <w:rFonts w:ascii="宋体" w:hAnsi="宋体" w:cs="宋体"/>
          <w:b/>
          <w:szCs w:val="21"/>
        </w:rPr>
      </w:pPr>
      <w:r>
        <w:rPr>
          <w:rFonts w:hint="eastAsia" w:ascii="宋体" w:hAnsi="宋体" w:cs="宋体"/>
          <w:b/>
          <w:szCs w:val="21"/>
        </w:rPr>
        <w:t>17.迟交的响应文件</w:t>
      </w:r>
    </w:p>
    <w:p w14:paraId="40CC20E1">
      <w:pPr>
        <w:spacing w:line="400" w:lineRule="exact"/>
        <w:ind w:firstLine="422" w:firstLineChars="201"/>
        <w:rPr>
          <w:rFonts w:asciiTheme="minorEastAsia" w:hAnsiTheme="minorEastAsia" w:eastAsiaTheme="minorEastAsia"/>
          <w:szCs w:val="21"/>
        </w:rPr>
      </w:pPr>
      <w:r>
        <w:rPr>
          <w:rFonts w:hint="eastAsia" w:ascii="宋体" w:hAnsi="宋体" w:cs="宋体"/>
          <w:szCs w:val="21"/>
        </w:rPr>
        <w:t>在响应文件递交截止时间后送达的响应文件，采购代理机构应当拒绝接收。</w:t>
      </w:r>
    </w:p>
    <w:p w14:paraId="3F8D0039">
      <w:pPr>
        <w:snapToGrid w:val="0"/>
        <w:spacing w:line="420" w:lineRule="exact"/>
        <w:jc w:val="center"/>
        <w:outlineLvl w:val="1"/>
        <w:rPr>
          <w:rFonts w:ascii="宋体" w:hAnsi="宋体"/>
          <w:b/>
          <w:sz w:val="32"/>
          <w:szCs w:val="32"/>
        </w:rPr>
      </w:pPr>
      <w:r>
        <w:rPr>
          <w:rFonts w:hint="eastAsia" w:ascii="宋体" w:hAnsi="宋体"/>
          <w:b/>
          <w:sz w:val="32"/>
          <w:szCs w:val="32"/>
        </w:rPr>
        <w:t>四、评审及磋商</w:t>
      </w:r>
    </w:p>
    <w:p w14:paraId="1D9F2323">
      <w:pPr>
        <w:spacing w:line="400" w:lineRule="exact"/>
        <w:ind w:firstLine="424" w:firstLineChars="201"/>
        <w:rPr>
          <w:rFonts w:ascii="宋体" w:hAnsi="宋体" w:cs="宋体"/>
          <w:b/>
          <w:kern w:val="0"/>
          <w:szCs w:val="21"/>
        </w:rPr>
      </w:pPr>
      <w:bookmarkStart w:id="80" w:name="_Toc44229895"/>
      <w:bookmarkStart w:id="81" w:name="_Toc136592400"/>
      <w:bookmarkStart w:id="82" w:name="_Toc73549988"/>
      <w:r>
        <w:rPr>
          <w:rFonts w:hint="eastAsia" w:ascii="宋体" w:hAnsi="宋体" w:cs="宋体"/>
          <w:b/>
          <w:kern w:val="0"/>
          <w:szCs w:val="21"/>
        </w:rPr>
        <w:t>18.磋商小组组建</w:t>
      </w:r>
    </w:p>
    <w:p w14:paraId="0F20ADF6">
      <w:pPr>
        <w:spacing w:line="400" w:lineRule="exact"/>
        <w:ind w:firstLine="422" w:firstLineChars="201"/>
        <w:rPr>
          <w:rFonts w:ascii="宋体" w:hAnsi="宋体" w:cs="宋体"/>
          <w:szCs w:val="21"/>
        </w:rPr>
      </w:pPr>
      <w:r>
        <w:rPr>
          <w:rFonts w:hint="eastAsia" w:ascii="宋体" w:hAnsi="宋体" w:cs="宋体"/>
          <w:szCs w:val="21"/>
        </w:rPr>
        <w:t>18.1磋商小组由采购人代表和评审专家共3人以上单数组成，其中评审专家人数不得少于磋商小组成员总数的2/3。</w:t>
      </w:r>
    </w:p>
    <w:p w14:paraId="491C8611">
      <w:pPr>
        <w:spacing w:line="400" w:lineRule="exact"/>
        <w:ind w:firstLine="422" w:firstLineChars="201"/>
        <w:rPr>
          <w:rFonts w:ascii="宋体" w:hAnsi="宋体" w:cs="宋体"/>
          <w:szCs w:val="21"/>
        </w:rPr>
      </w:pPr>
      <w:r>
        <w:rPr>
          <w:rFonts w:hint="eastAsia" w:ascii="宋体" w:hAnsi="宋体" w:cs="宋体"/>
          <w:szCs w:val="21"/>
        </w:rPr>
        <w:t>18.2评审专家应当从专家库内相关专业的专家名单中随机抽取。</w:t>
      </w:r>
    </w:p>
    <w:p w14:paraId="7ABF3C8D">
      <w:pPr>
        <w:spacing w:line="400" w:lineRule="exact"/>
        <w:ind w:firstLine="424" w:firstLineChars="201"/>
        <w:rPr>
          <w:rFonts w:ascii="宋体" w:hAnsi="宋体" w:cs="宋体"/>
          <w:b/>
          <w:kern w:val="0"/>
          <w:szCs w:val="21"/>
        </w:rPr>
      </w:pPr>
      <w:r>
        <w:rPr>
          <w:rFonts w:hint="eastAsia" w:ascii="宋体" w:hAnsi="宋体" w:cs="宋体"/>
          <w:b/>
          <w:kern w:val="0"/>
          <w:szCs w:val="21"/>
        </w:rPr>
        <w:t>19.评审程序</w:t>
      </w:r>
    </w:p>
    <w:p w14:paraId="246D0AB2">
      <w:pPr>
        <w:spacing w:line="400" w:lineRule="exact"/>
        <w:ind w:firstLine="424" w:firstLineChars="201"/>
        <w:rPr>
          <w:rFonts w:ascii="宋体" w:hAnsi="宋体" w:cs="宋体"/>
          <w:b/>
          <w:szCs w:val="21"/>
        </w:rPr>
      </w:pPr>
      <w:r>
        <w:rPr>
          <w:rFonts w:hint="eastAsia" w:ascii="宋体" w:hAnsi="宋体" w:cs="宋体"/>
          <w:b/>
          <w:szCs w:val="21"/>
        </w:rPr>
        <w:t>19.1招标代理机向磋商小组移交接收所有的响应文件。</w:t>
      </w:r>
    </w:p>
    <w:p w14:paraId="6D814B2E">
      <w:pPr>
        <w:spacing w:line="400" w:lineRule="exact"/>
        <w:ind w:firstLine="424" w:firstLineChars="201"/>
        <w:rPr>
          <w:rFonts w:ascii="宋体" w:hAnsi="宋体" w:cs="宋体"/>
          <w:b/>
          <w:szCs w:val="21"/>
        </w:rPr>
      </w:pPr>
      <w:r>
        <w:rPr>
          <w:rFonts w:hint="eastAsia" w:ascii="宋体" w:hAnsi="宋体" w:cs="宋体"/>
          <w:b/>
          <w:szCs w:val="21"/>
        </w:rPr>
        <w:t>19.2磋商小组评审响应文件</w:t>
      </w:r>
    </w:p>
    <w:p w14:paraId="2B5FEC09">
      <w:pPr>
        <w:spacing w:line="400" w:lineRule="exact"/>
        <w:ind w:firstLine="422" w:firstLineChars="201"/>
        <w:rPr>
          <w:rFonts w:ascii="宋体" w:hAnsi="宋体" w:cs="宋体"/>
          <w:szCs w:val="21"/>
        </w:rPr>
      </w:pPr>
      <w:r>
        <w:rPr>
          <w:rFonts w:hint="eastAsia" w:ascii="宋体" w:hAnsi="宋体" w:cs="宋体"/>
          <w:szCs w:val="21"/>
        </w:rPr>
        <w:t>磋商小组对供应商资格条件和响应文件的有效性、完整性和响应程度进行审查。对资格条件不符合的供应商或未实质性响应磋商文件的响应文件按无效响应处理，磋商小组应当告知有关供应商。</w:t>
      </w:r>
    </w:p>
    <w:p w14:paraId="15C95B24">
      <w:pPr>
        <w:spacing w:line="400" w:lineRule="exact"/>
        <w:ind w:firstLine="424" w:firstLineChars="201"/>
        <w:rPr>
          <w:rFonts w:ascii="宋体" w:hAnsi="宋体" w:cs="宋体"/>
          <w:b/>
          <w:szCs w:val="21"/>
        </w:rPr>
      </w:pPr>
      <w:r>
        <w:rPr>
          <w:rFonts w:hint="eastAsia" w:ascii="宋体" w:hAnsi="宋体" w:cs="宋体"/>
          <w:b/>
          <w:szCs w:val="21"/>
        </w:rPr>
        <w:t>19.3澄清</w:t>
      </w:r>
    </w:p>
    <w:p w14:paraId="2F0E327E">
      <w:pPr>
        <w:spacing w:line="400" w:lineRule="exact"/>
        <w:ind w:firstLine="422" w:firstLineChars="201"/>
        <w:rPr>
          <w:rFonts w:ascii="宋体" w:hAnsi="宋体" w:cs="宋体"/>
          <w:szCs w:val="21"/>
        </w:rPr>
      </w:pPr>
      <w:r>
        <w:rPr>
          <w:rFonts w:hint="eastAsia" w:ascii="宋体" w:hAnsi="宋体" w:cs="宋体"/>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FAC3A45">
      <w:pPr>
        <w:spacing w:line="400" w:lineRule="exact"/>
        <w:ind w:firstLine="422" w:firstLineChars="201"/>
        <w:rPr>
          <w:rFonts w:ascii="宋体" w:hAnsi="宋体" w:cs="宋体"/>
          <w:szCs w:val="21"/>
        </w:rPr>
      </w:pPr>
      <w:r>
        <w:rPr>
          <w:rFonts w:hint="eastAsia" w:ascii="宋体" w:hAnsi="宋体" w:cs="宋体"/>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28DE0D9">
      <w:pPr>
        <w:widowControl/>
        <w:tabs>
          <w:tab w:val="left" w:pos="540"/>
        </w:tabs>
        <w:spacing w:line="400" w:lineRule="exact"/>
        <w:ind w:firstLine="424" w:firstLineChars="201"/>
        <w:jc w:val="left"/>
        <w:rPr>
          <w:rFonts w:ascii="宋体" w:hAnsi="宋体" w:cs="宋体"/>
          <w:b/>
          <w:szCs w:val="21"/>
        </w:rPr>
      </w:pPr>
      <w:r>
        <w:rPr>
          <w:rFonts w:hint="eastAsia" w:ascii="宋体" w:hAnsi="宋体" w:cs="宋体"/>
          <w:b/>
          <w:szCs w:val="21"/>
        </w:rPr>
        <w:t>19.4磋商</w:t>
      </w:r>
    </w:p>
    <w:p w14:paraId="78869554">
      <w:pPr>
        <w:widowControl/>
        <w:tabs>
          <w:tab w:val="left" w:pos="540"/>
        </w:tabs>
        <w:spacing w:line="400" w:lineRule="exact"/>
        <w:ind w:firstLine="422" w:firstLineChars="201"/>
        <w:jc w:val="left"/>
        <w:rPr>
          <w:rFonts w:ascii="宋体" w:hAnsi="宋体" w:cs="宋体"/>
          <w:szCs w:val="21"/>
        </w:rPr>
      </w:pPr>
      <w:r>
        <w:rPr>
          <w:rFonts w:hint="eastAsia" w:ascii="宋体" w:hAnsi="宋体" w:cs="宋体"/>
          <w:szCs w:val="21"/>
        </w:rPr>
        <w:t>19.4.1磋商时间及地点：按须知前附表规定。</w:t>
      </w:r>
    </w:p>
    <w:p w14:paraId="1AF847B9">
      <w:pPr>
        <w:widowControl/>
        <w:tabs>
          <w:tab w:val="left" w:pos="540"/>
        </w:tabs>
        <w:spacing w:line="400" w:lineRule="exact"/>
        <w:ind w:firstLine="422" w:firstLineChars="201"/>
        <w:jc w:val="left"/>
        <w:rPr>
          <w:rFonts w:ascii="宋体" w:hAnsi="宋体" w:cs="宋体"/>
          <w:szCs w:val="21"/>
        </w:rPr>
      </w:pPr>
      <w:r>
        <w:rPr>
          <w:rFonts w:hint="eastAsia" w:ascii="宋体" w:hAnsi="宋体" w:cs="宋体"/>
          <w:szCs w:val="21"/>
        </w:rPr>
        <w:t>19.4.2供应商参加需要携带的材料：按须知前附表规定。</w:t>
      </w:r>
    </w:p>
    <w:p w14:paraId="0ECEC6BA">
      <w:pPr>
        <w:widowControl/>
        <w:tabs>
          <w:tab w:val="left" w:pos="540"/>
        </w:tabs>
        <w:spacing w:line="400" w:lineRule="exact"/>
        <w:ind w:firstLine="422" w:firstLineChars="201"/>
        <w:jc w:val="left"/>
        <w:rPr>
          <w:rFonts w:ascii="宋体" w:hAnsi="宋体" w:cs="宋体"/>
          <w:szCs w:val="21"/>
        </w:rPr>
      </w:pPr>
      <w:r>
        <w:rPr>
          <w:rFonts w:hint="eastAsia" w:ascii="宋体" w:hAnsi="宋体" w:cs="宋体"/>
          <w:szCs w:val="21"/>
        </w:rPr>
        <w:t>19.4.3磋商小组按须知前附表规定的磋商顺序，集中与单一供应商分别进行磋商，并给予所有参加磋商的供应商平等的磋商机会。符合磋商资格的供应商未在规定时间内参加磋商的，视同放弃参加磋商权利，其响应文件作无效处理。</w:t>
      </w:r>
    </w:p>
    <w:p w14:paraId="7C3E4912">
      <w:pPr>
        <w:widowControl/>
        <w:tabs>
          <w:tab w:val="left" w:pos="540"/>
        </w:tabs>
        <w:spacing w:line="400" w:lineRule="exact"/>
        <w:ind w:firstLine="422" w:firstLineChars="201"/>
        <w:jc w:val="left"/>
        <w:rPr>
          <w:rFonts w:ascii="宋体" w:hAnsi="宋体" w:cs="宋体"/>
          <w:szCs w:val="21"/>
        </w:rPr>
      </w:pP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0A5B930A">
      <w:pPr>
        <w:widowControl/>
        <w:tabs>
          <w:tab w:val="left" w:pos="540"/>
        </w:tabs>
        <w:spacing w:line="400" w:lineRule="exact"/>
        <w:ind w:firstLine="422" w:firstLineChars="201"/>
        <w:jc w:val="left"/>
        <w:rPr>
          <w:rFonts w:ascii="宋体" w:hAnsi="宋体" w:cs="宋体"/>
          <w:szCs w:val="21"/>
        </w:rPr>
      </w:pPr>
      <w:r>
        <w:rPr>
          <w:rFonts w:hint="eastAsia" w:ascii="宋体" w:hAnsi="宋体" w:cs="宋体"/>
          <w:szCs w:val="21"/>
        </w:rPr>
        <w:t>对磋商文件作出的实质性变动是磋商文件的有效组成部分，磋商小组应当及时以书面形式同时通知所有参加磋商的供应商。</w:t>
      </w:r>
    </w:p>
    <w:p w14:paraId="2B488DAB">
      <w:pPr>
        <w:widowControl/>
        <w:tabs>
          <w:tab w:val="left" w:pos="540"/>
        </w:tabs>
        <w:spacing w:line="400" w:lineRule="exact"/>
        <w:ind w:firstLine="422" w:firstLineChars="201"/>
        <w:jc w:val="left"/>
        <w:rPr>
          <w:rFonts w:ascii="宋体" w:hAnsi="宋体" w:cs="宋体"/>
          <w:szCs w:val="21"/>
        </w:rPr>
      </w:pPr>
      <w:r>
        <w:rPr>
          <w:rFonts w:hint="eastAsia" w:ascii="宋体" w:hAnsi="宋体" w:cs="宋体"/>
          <w:szCs w:val="21"/>
        </w:rPr>
        <w:t>供应商应当按照磋商文件的变动情况和磋商小组的要求重新提交响应文件，并由其法定代表人或授权代表签字或者加盖公章。由授权代表签字的，应当附法定代表人授权书。参加磋商的供应商未在规定时间内重新提交响应文件的，视同放弃提交权利，其响应文件作无效处理。</w:t>
      </w:r>
    </w:p>
    <w:p w14:paraId="26908E5F">
      <w:pPr>
        <w:widowControl/>
        <w:tabs>
          <w:tab w:val="left" w:pos="540"/>
        </w:tabs>
        <w:spacing w:line="400" w:lineRule="exact"/>
        <w:ind w:firstLine="422" w:firstLineChars="201"/>
        <w:jc w:val="left"/>
        <w:rPr>
          <w:rFonts w:ascii="宋体" w:hAnsi="宋体" w:cs="宋体"/>
          <w:szCs w:val="21"/>
        </w:rPr>
      </w:pPr>
      <w:r>
        <w:rPr>
          <w:rFonts w:hint="eastAsia" w:ascii="宋体" w:hAnsi="宋体" w:cs="宋体"/>
          <w:szCs w:val="21"/>
        </w:rPr>
        <w:t>磋商中，磋商的任何一方不得透露与磋商有关的其他供应商的技术资料、价格和其他信息。</w:t>
      </w:r>
    </w:p>
    <w:p w14:paraId="016B48EC">
      <w:pPr>
        <w:widowControl/>
        <w:tabs>
          <w:tab w:val="left" w:pos="540"/>
        </w:tabs>
        <w:spacing w:line="400" w:lineRule="exact"/>
        <w:ind w:firstLine="422" w:firstLineChars="201"/>
        <w:jc w:val="left"/>
        <w:rPr>
          <w:rFonts w:ascii="宋体" w:hAnsi="宋体" w:cs="宋体"/>
          <w:szCs w:val="21"/>
        </w:rPr>
      </w:pPr>
      <w:r>
        <w:rPr>
          <w:rFonts w:hint="eastAsia" w:ascii="宋体" w:hAnsi="宋体" w:cs="宋体"/>
          <w:szCs w:val="21"/>
        </w:rPr>
        <w:t>采购代理机构对磋商过程和重要磋商内容进行记录，磋商双方在记录上签字确认。</w:t>
      </w:r>
    </w:p>
    <w:p w14:paraId="52C854CA">
      <w:pPr>
        <w:widowControl/>
        <w:tabs>
          <w:tab w:val="left" w:pos="540"/>
        </w:tabs>
        <w:spacing w:line="400" w:lineRule="exact"/>
        <w:ind w:firstLine="424" w:firstLineChars="201"/>
        <w:jc w:val="left"/>
        <w:rPr>
          <w:rFonts w:ascii="宋体" w:hAnsi="宋体" w:cs="宋体"/>
          <w:b/>
          <w:szCs w:val="21"/>
        </w:rPr>
      </w:pPr>
      <w:r>
        <w:rPr>
          <w:rFonts w:hint="eastAsia" w:ascii="宋体" w:hAnsi="宋体" w:cs="宋体"/>
          <w:b/>
          <w:szCs w:val="21"/>
        </w:rPr>
        <w:t>19.5最后报价</w:t>
      </w:r>
    </w:p>
    <w:p w14:paraId="10E5F8FB">
      <w:pPr>
        <w:widowControl/>
        <w:tabs>
          <w:tab w:val="left" w:pos="540"/>
        </w:tabs>
        <w:spacing w:line="400" w:lineRule="exact"/>
        <w:ind w:firstLine="422" w:firstLineChars="201"/>
        <w:jc w:val="left"/>
        <w:rPr>
          <w:rFonts w:ascii="宋体" w:hAnsi="宋体" w:cs="宋体"/>
          <w:szCs w:val="21"/>
        </w:rPr>
      </w:pPr>
      <w:r>
        <w:rPr>
          <w:rFonts w:hint="eastAsia" w:ascii="宋体" w:hAnsi="宋体" w:cs="宋体"/>
          <w:szCs w:val="21"/>
        </w:rPr>
        <w:t>19.5.1磋商文件能够详细列明采购标的的技术、服务要求的，磋商结束后，磋商小组应当要求所有继续参加磋商的供应商在规定时间内密封提交最后报价，提交最后报价的供应商不得少于3家。</w:t>
      </w:r>
    </w:p>
    <w:p w14:paraId="30B01BED">
      <w:pPr>
        <w:widowControl/>
        <w:tabs>
          <w:tab w:val="left" w:pos="540"/>
        </w:tabs>
        <w:spacing w:line="400" w:lineRule="exact"/>
        <w:ind w:firstLine="422" w:firstLineChars="201"/>
        <w:jc w:val="left"/>
        <w:rPr>
          <w:rFonts w:ascii="宋体" w:hAnsi="宋体" w:cs="宋体"/>
          <w:szCs w:val="21"/>
        </w:rPr>
      </w:pPr>
      <w:r>
        <w:rPr>
          <w:rFonts w:hint="eastAsia" w:ascii="宋体" w:hAnsi="宋体" w:cs="宋体"/>
          <w:szCs w:val="21"/>
        </w:rPr>
        <w:t>19.5.2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供应商未在规定时间内提交最后报价的，视同放弃最后报价权利，其响应文件作无效处理。</w:t>
      </w:r>
    </w:p>
    <w:p w14:paraId="679DEF5C">
      <w:pPr>
        <w:widowControl/>
        <w:tabs>
          <w:tab w:val="left" w:pos="540"/>
        </w:tabs>
        <w:spacing w:line="400" w:lineRule="exact"/>
        <w:ind w:firstLine="422" w:firstLineChars="201"/>
        <w:jc w:val="left"/>
        <w:rPr>
          <w:rFonts w:ascii="宋体" w:hAnsi="宋体" w:cs="宋体"/>
          <w:szCs w:val="21"/>
        </w:rPr>
      </w:pPr>
      <w:r>
        <w:rPr>
          <w:rFonts w:hint="eastAsia" w:ascii="宋体" w:hAnsi="宋体" w:cs="宋体"/>
          <w:szCs w:val="21"/>
        </w:rPr>
        <w:t>19.5.3最后报价是供应商响应文件的有效组成部分。</w:t>
      </w:r>
    </w:p>
    <w:p w14:paraId="233313D0">
      <w:pPr>
        <w:widowControl/>
        <w:tabs>
          <w:tab w:val="left" w:pos="540"/>
        </w:tabs>
        <w:spacing w:line="400" w:lineRule="exact"/>
        <w:ind w:firstLine="422" w:firstLineChars="201"/>
        <w:jc w:val="left"/>
        <w:rPr>
          <w:rFonts w:ascii="宋体" w:hAnsi="宋体" w:cs="宋体"/>
          <w:szCs w:val="21"/>
        </w:rPr>
      </w:pPr>
      <w:r>
        <w:rPr>
          <w:rFonts w:hint="eastAsia" w:ascii="宋体" w:hAnsi="宋体" w:cs="宋体"/>
          <w:szCs w:val="21"/>
        </w:rPr>
        <w:t>19.5.4已经提交响应文件的供应商，在提交最后报价之前，可以根据磋商情况退出磋商。</w:t>
      </w:r>
    </w:p>
    <w:p w14:paraId="20778BE6">
      <w:pPr>
        <w:widowControl/>
        <w:tabs>
          <w:tab w:val="left" w:pos="540"/>
        </w:tabs>
        <w:spacing w:line="400" w:lineRule="exact"/>
        <w:ind w:firstLine="422" w:firstLineChars="201"/>
        <w:jc w:val="left"/>
        <w:rPr>
          <w:rFonts w:ascii="宋体" w:hAnsi="宋体" w:cs="宋体"/>
          <w:szCs w:val="21"/>
        </w:rPr>
      </w:pPr>
      <w:r>
        <w:rPr>
          <w:rFonts w:hint="eastAsia" w:ascii="宋体" w:hAnsi="宋体" w:cs="宋体"/>
          <w:szCs w:val="21"/>
        </w:rPr>
        <w:t>19.5.5响应供应商的报价均超过了采购预算，采购人不能支付的，磋商活动终止。</w:t>
      </w:r>
    </w:p>
    <w:p w14:paraId="2DD5F59B">
      <w:pPr>
        <w:widowControl/>
        <w:spacing w:line="400" w:lineRule="exact"/>
        <w:ind w:firstLine="422" w:firstLineChars="201"/>
        <w:jc w:val="left"/>
        <w:rPr>
          <w:rFonts w:ascii="宋体" w:hAnsi="宋体" w:cs="宋体"/>
          <w:szCs w:val="21"/>
        </w:rPr>
      </w:pPr>
      <w:r>
        <w:rPr>
          <w:rFonts w:hint="eastAsia" w:ascii="宋体" w:hAnsi="宋体" w:cs="宋体"/>
          <w:szCs w:val="21"/>
        </w:rPr>
        <w:t>19.5.6低于成本报价</w:t>
      </w:r>
    </w:p>
    <w:p w14:paraId="1A1D7B37">
      <w:pPr>
        <w:widowControl/>
        <w:spacing w:line="400" w:lineRule="exact"/>
        <w:ind w:firstLine="422" w:firstLineChars="201"/>
        <w:jc w:val="left"/>
        <w:rPr>
          <w:rFonts w:ascii="宋体" w:hAnsi="宋体" w:cs="宋体"/>
          <w:szCs w:val="21"/>
        </w:rPr>
      </w:pPr>
      <w:r>
        <w:rPr>
          <w:rFonts w:hint="eastAsia" w:ascii="宋体" w:hAnsi="宋体" w:cs="宋体"/>
          <w:szCs w:val="21"/>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14:paraId="25217A62">
      <w:pPr>
        <w:widowControl/>
        <w:tabs>
          <w:tab w:val="left" w:pos="540"/>
        </w:tabs>
        <w:spacing w:line="400" w:lineRule="exact"/>
        <w:ind w:firstLine="424" w:firstLineChars="201"/>
        <w:jc w:val="left"/>
        <w:rPr>
          <w:rFonts w:ascii="宋体" w:hAnsi="宋体" w:cs="宋体"/>
          <w:b/>
          <w:szCs w:val="21"/>
        </w:rPr>
      </w:pPr>
      <w:r>
        <w:rPr>
          <w:rFonts w:hint="eastAsia" w:ascii="宋体" w:hAnsi="宋体" w:cs="宋体"/>
          <w:b/>
          <w:szCs w:val="21"/>
        </w:rPr>
        <w:t>20.最终磋商结束后，磋商小组不得再与供应商进行任何形式的商谈</w:t>
      </w:r>
    </w:p>
    <w:p w14:paraId="4176BE48">
      <w:pPr>
        <w:widowControl/>
        <w:tabs>
          <w:tab w:val="left" w:pos="540"/>
        </w:tabs>
        <w:spacing w:line="400" w:lineRule="exact"/>
        <w:ind w:firstLine="424" w:firstLineChars="201"/>
        <w:jc w:val="left"/>
        <w:rPr>
          <w:rFonts w:ascii="宋体" w:hAnsi="宋体" w:cs="宋体"/>
          <w:b/>
          <w:szCs w:val="21"/>
        </w:rPr>
      </w:pPr>
      <w:r>
        <w:rPr>
          <w:rFonts w:hint="eastAsia" w:ascii="宋体" w:hAnsi="宋体" w:cs="宋体"/>
          <w:b/>
          <w:szCs w:val="21"/>
        </w:rPr>
        <w:t>21.评审与比较</w:t>
      </w:r>
    </w:p>
    <w:p w14:paraId="78F19DEA">
      <w:pPr>
        <w:widowControl/>
        <w:tabs>
          <w:tab w:val="left" w:pos="540"/>
        </w:tabs>
        <w:spacing w:line="400" w:lineRule="exact"/>
        <w:ind w:firstLine="422" w:firstLineChars="201"/>
        <w:jc w:val="left"/>
        <w:rPr>
          <w:rFonts w:ascii="宋体" w:hAnsi="宋体" w:cs="宋体"/>
          <w:szCs w:val="21"/>
        </w:rPr>
      </w:pPr>
      <w:r>
        <w:rPr>
          <w:rFonts w:hint="eastAsia" w:ascii="宋体" w:hAnsi="宋体" w:cs="宋体"/>
          <w:szCs w:val="21"/>
        </w:rPr>
        <w:t>21.1经磋商确定最终采购需求和提交最后报价的供应商后，由磋商小组采用综合评分法对提交最后报价的供应商的响应文件和最后报价进行综合评分。</w:t>
      </w:r>
    </w:p>
    <w:p w14:paraId="37C93A8B">
      <w:pPr>
        <w:widowControl/>
        <w:tabs>
          <w:tab w:val="left" w:pos="540"/>
        </w:tabs>
        <w:spacing w:line="400" w:lineRule="exact"/>
        <w:ind w:firstLine="422" w:firstLineChars="201"/>
        <w:jc w:val="left"/>
        <w:rPr>
          <w:rFonts w:ascii="宋体" w:hAnsi="宋体" w:cs="宋体"/>
          <w:szCs w:val="21"/>
        </w:rPr>
      </w:pPr>
      <w:r>
        <w:rPr>
          <w:rFonts w:hint="eastAsia" w:ascii="宋体" w:hAnsi="宋体" w:cs="宋体"/>
          <w:szCs w:val="21"/>
        </w:rPr>
        <w:t>21.2评审原则。磋商小组必须公平、公正、客观，不带任何倾向性和启发性；不得向外界透露任何与评审有关的内容；任何单位和个人不得干扰、影响评审的正常进行。</w:t>
      </w:r>
    </w:p>
    <w:p w14:paraId="0A9659CA">
      <w:pPr>
        <w:widowControl/>
        <w:tabs>
          <w:tab w:val="left" w:pos="540"/>
        </w:tabs>
        <w:spacing w:line="400" w:lineRule="exact"/>
        <w:ind w:firstLine="422" w:firstLineChars="201"/>
        <w:jc w:val="left"/>
        <w:rPr>
          <w:rFonts w:ascii="宋体" w:hAnsi="宋体" w:cs="宋体"/>
          <w:szCs w:val="21"/>
        </w:rPr>
      </w:pPr>
      <w:r>
        <w:rPr>
          <w:rFonts w:hint="eastAsia" w:ascii="宋体" w:hAnsi="宋体" w:cs="宋体"/>
          <w:szCs w:val="21"/>
        </w:rPr>
        <w:t>21.3评标办法及标准详见第四章。</w:t>
      </w:r>
    </w:p>
    <w:p w14:paraId="21D35544">
      <w:pPr>
        <w:widowControl/>
        <w:tabs>
          <w:tab w:val="left" w:pos="540"/>
        </w:tabs>
        <w:spacing w:line="400" w:lineRule="exact"/>
        <w:ind w:firstLine="422" w:firstLineChars="201"/>
        <w:jc w:val="left"/>
        <w:rPr>
          <w:rFonts w:ascii="宋体" w:hAnsi="宋体" w:cs="宋体"/>
          <w:b/>
          <w:bCs/>
          <w:szCs w:val="21"/>
        </w:rPr>
      </w:pPr>
      <w:r>
        <w:rPr>
          <w:rFonts w:hint="eastAsia" w:ascii="宋体" w:hAnsi="宋体" w:cs="宋体"/>
          <w:szCs w:val="21"/>
        </w:rPr>
        <w:t>22.</w:t>
      </w:r>
      <w:r>
        <w:rPr>
          <w:rFonts w:hint="eastAsia" w:ascii="宋体" w:hAnsi="宋体" w:cs="宋体"/>
          <w:b/>
          <w:bCs/>
          <w:szCs w:val="21"/>
        </w:rPr>
        <w:t>在评审过程中出现法律法规和磋商文件均没有明确规定的情形时，由磋商小组现场协商解决，协商不一致的，由全体磋商小组投票表决，以得票率二分之一以上专家的意见为准。</w:t>
      </w:r>
    </w:p>
    <w:p w14:paraId="293905E1">
      <w:pPr>
        <w:widowControl/>
        <w:tabs>
          <w:tab w:val="left" w:pos="540"/>
        </w:tabs>
        <w:spacing w:line="400" w:lineRule="exact"/>
        <w:ind w:firstLine="424" w:firstLineChars="201"/>
        <w:jc w:val="left"/>
        <w:rPr>
          <w:rFonts w:ascii="宋体" w:hAnsi="宋体" w:cs="宋体"/>
          <w:b/>
          <w:szCs w:val="21"/>
        </w:rPr>
      </w:pPr>
      <w:r>
        <w:rPr>
          <w:rFonts w:hint="eastAsia" w:ascii="宋体" w:hAnsi="宋体" w:cs="宋体"/>
          <w:b/>
          <w:bCs/>
          <w:szCs w:val="21"/>
        </w:rPr>
        <w:t>23.</w:t>
      </w:r>
      <w:r>
        <w:rPr>
          <w:rFonts w:hint="eastAsia" w:ascii="宋体" w:hAnsi="宋体" w:cs="宋体"/>
          <w:b/>
          <w:szCs w:val="21"/>
        </w:rPr>
        <w:t>特别说明：</w:t>
      </w:r>
    </w:p>
    <w:p w14:paraId="2A2A6270">
      <w:pPr>
        <w:widowControl/>
        <w:spacing w:line="400" w:lineRule="exact"/>
        <w:ind w:firstLine="422" w:firstLineChars="201"/>
        <w:jc w:val="left"/>
        <w:rPr>
          <w:rFonts w:ascii="宋体" w:hAnsi="宋体" w:cs="宋体"/>
          <w:szCs w:val="21"/>
        </w:rPr>
      </w:pPr>
      <w:r>
        <w:rPr>
          <w:rFonts w:hint="eastAsia" w:ascii="宋体" w:hAnsi="宋体" w:cs="宋体"/>
          <w:szCs w:val="21"/>
        </w:rPr>
        <w:t>23.1供应商参加磋商所使用的资格、信誉、荣誉、业绩与企业认证必须为本法人所拥有。供应商参加磋商所使用的采购项目实施人员必须为本法人员工（或必须为本法人或控股公司正式员工）。</w:t>
      </w:r>
    </w:p>
    <w:p w14:paraId="013D7A5E">
      <w:pPr>
        <w:widowControl/>
        <w:spacing w:line="400" w:lineRule="exact"/>
        <w:ind w:firstLine="422" w:firstLineChars="201"/>
        <w:jc w:val="left"/>
        <w:rPr>
          <w:rFonts w:ascii="宋体" w:hAnsi="宋体" w:cs="宋体"/>
          <w:szCs w:val="21"/>
        </w:rPr>
      </w:pPr>
      <w:r>
        <w:rPr>
          <w:rFonts w:hint="eastAsia" w:ascii="宋体" w:hAnsi="宋体" w:cs="宋体"/>
          <w:szCs w:val="21"/>
        </w:rPr>
        <w:t>23.2供应商应仔细阅读竞争性磋商文件的所有内容，按照竞争性磋商文件的要求提交响应文件，并对所提供的全部资料的真实性承担法律责任。</w:t>
      </w:r>
    </w:p>
    <w:p w14:paraId="6014068F">
      <w:pPr>
        <w:widowControl/>
        <w:spacing w:line="400" w:lineRule="exact"/>
        <w:ind w:firstLine="422" w:firstLineChars="201"/>
        <w:jc w:val="left"/>
        <w:rPr>
          <w:rFonts w:ascii="宋体" w:hAnsi="宋体" w:cs="宋体"/>
          <w:szCs w:val="21"/>
        </w:rPr>
      </w:pPr>
      <w:r>
        <w:rPr>
          <w:rFonts w:hint="eastAsia" w:ascii="宋体" w:hAnsi="宋体" w:cs="宋体"/>
          <w:szCs w:val="21"/>
        </w:rPr>
        <w:t>23.3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5C546218">
      <w:pPr>
        <w:pStyle w:val="21"/>
        <w:snapToGrid w:val="0"/>
        <w:spacing w:line="400" w:lineRule="exact"/>
        <w:ind w:left="2" w:leftChars="1" w:firstLine="420" w:firstLineChars="200"/>
        <w:rPr>
          <w:rFonts w:hAnsi="宋体" w:cs="宋体"/>
          <w:sz w:val="21"/>
        </w:rPr>
      </w:pPr>
      <w:r>
        <w:rPr>
          <w:rFonts w:hint="eastAsia" w:hAnsi="宋体" w:cs="宋体"/>
          <w:sz w:val="21"/>
        </w:rPr>
        <w:t>23.4有下列情形之一的视为供应商相互串通投标，响应文件将被视为无效：</w:t>
      </w:r>
    </w:p>
    <w:p w14:paraId="167F46E9">
      <w:pPr>
        <w:pStyle w:val="21"/>
        <w:snapToGrid w:val="0"/>
        <w:spacing w:line="400" w:lineRule="exact"/>
        <w:ind w:left="2" w:leftChars="1" w:firstLine="420" w:firstLineChars="200"/>
        <w:rPr>
          <w:rFonts w:hAnsi="宋体" w:cs="宋体"/>
          <w:sz w:val="21"/>
        </w:rPr>
      </w:pPr>
      <w:r>
        <w:rPr>
          <w:rFonts w:hint="eastAsia" w:hAnsi="宋体" w:cs="宋体"/>
          <w:sz w:val="21"/>
        </w:rPr>
        <w:t>（1）不同供应商的响应文件由同一单位或者个人编制；或不同供应商报名的IP地址一致的；</w:t>
      </w:r>
    </w:p>
    <w:p w14:paraId="44AE34B5">
      <w:pPr>
        <w:pStyle w:val="21"/>
        <w:snapToGrid w:val="0"/>
        <w:spacing w:line="400" w:lineRule="exact"/>
        <w:ind w:left="2" w:leftChars="1" w:firstLine="420" w:firstLineChars="200"/>
        <w:rPr>
          <w:rFonts w:hAnsi="宋体" w:cs="宋体"/>
          <w:sz w:val="21"/>
        </w:rPr>
      </w:pPr>
      <w:r>
        <w:rPr>
          <w:rFonts w:hint="eastAsia" w:hAnsi="宋体" w:cs="宋体"/>
          <w:sz w:val="21"/>
        </w:rPr>
        <w:t>（2）不同供应商委托同一单位或者个人办理磋商事宜；</w:t>
      </w:r>
    </w:p>
    <w:p w14:paraId="7949F7F4">
      <w:pPr>
        <w:pStyle w:val="21"/>
        <w:snapToGrid w:val="0"/>
        <w:spacing w:line="400" w:lineRule="exact"/>
        <w:ind w:left="2" w:leftChars="1" w:firstLine="420" w:firstLineChars="200"/>
        <w:rPr>
          <w:rFonts w:hAnsi="宋体" w:cs="宋体"/>
          <w:sz w:val="21"/>
        </w:rPr>
      </w:pPr>
      <w:r>
        <w:rPr>
          <w:rFonts w:hint="eastAsia" w:hAnsi="宋体" w:cs="宋体"/>
          <w:sz w:val="21"/>
        </w:rPr>
        <w:t>（3）不同的供应商的响应文件载明的项目管理员为同一个人；</w:t>
      </w:r>
    </w:p>
    <w:p w14:paraId="3BBB312E">
      <w:pPr>
        <w:pStyle w:val="21"/>
        <w:snapToGrid w:val="0"/>
        <w:spacing w:line="400" w:lineRule="exact"/>
        <w:ind w:left="2" w:leftChars="1" w:firstLine="420" w:firstLineChars="200"/>
        <w:rPr>
          <w:rFonts w:hAnsi="宋体" w:cs="宋体"/>
          <w:sz w:val="21"/>
        </w:rPr>
      </w:pPr>
      <w:r>
        <w:rPr>
          <w:rFonts w:hint="eastAsia" w:hAnsi="宋体" w:cs="宋体"/>
          <w:sz w:val="21"/>
        </w:rPr>
        <w:t>（4）不同供应商的响应文件异常一致或报价呈规律性差异；</w:t>
      </w:r>
    </w:p>
    <w:p w14:paraId="0C2AE938">
      <w:pPr>
        <w:pStyle w:val="21"/>
        <w:snapToGrid w:val="0"/>
        <w:spacing w:line="400" w:lineRule="exact"/>
        <w:ind w:left="2" w:leftChars="1" w:firstLine="420" w:firstLineChars="200"/>
        <w:rPr>
          <w:rFonts w:hAnsi="宋体" w:cs="宋体"/>
          <w:sz w:val="21"/>
        </w:rPr>
      </w:pPr>
      <w:r>
        <w:rPr>
          <w:rFonts w:hint="eastAsia" w:hAnsi="宋体" w:cs="宋体"/>
          <w:sz w:val="21"/>
        </w:rPr>
        <w:t>（5）不同供应商的响应文件相互混装；</w:t>
      </w:r>
    </w:p>
    <w:p w14:paraId="1D8D5390">
      <w:pPr>
        <w:pStyle w:val="21"/>
        <w:snapToGrid w:val="0"/>
        <w:spacing w:line="400" w:lineRule="exact"/>
        <w:ind w:left="2" w:leftChars="1" w:firstLine="420" w:firstLineChars="200"/>
        <w:rPr>
          <w:rFonts w:hAnsi="宋体" w:cs="宋体"/>
          <w:sz w:val="21"/>
        </w:rPr>
      </w:pPr>
      <w:r>
        <w:rPr>
          <w:rFonts w:hint="eastAsia" w:hAnsi="宋体" w:cs="宋体"/>
          <w:sz w:val="21"/>
        </w:rPr>
        <w:t>23.5供应商有下列情形之一的，属于恶意串通行为：</w:t>
      </w:r>
    </w:p>
    <w:p w14:paraId="26381862">
      <w:pPr>
        <w:pStyle w:val="21"/>
        <w:snapToGrid w:val="0"/>
        <w:spacing w:line="400" w:lineRule="exact"/>
        <w:ind w:left="2" w:leftChars="1" w:firstLine="420" w:firstLineChars="200"/>
        <w:rPr>
          <w:rFonts w:hAnsi="宋体" w:cs="宋体"/>
          <w:sz w:val="21"/>
        </w:rPr>
      </w:pPr>
      <w:r>
        <w:rPr>
          <w:rFonts w:hint="eastAsia" w:hAnsi="宋体" w:cs="宋体"/>
          <w:sz w:val="21"/>
        </w:rPr>
        <w:t>（1）供应商直接或者间接从采购人或者采购代理机构处获得其他供应商的相关信息并修改其响应文件：</w:t>
      </w:r>
    </w:p>
    <w:p w14:paraId="567C76BF">
      <w:pPr>
        <w:pStyle w:val="21"/>
        <w:snapToGrid w:val="0"/>
        <w:spacing w:line="400" w:lineRule="exact"/>
        <w:ind w:left="2" w:leftChars="1" w:firstLine="420" w:firstLineChars="200"/>
        <w:rPr>
          <w:rFonts w:hAnsi="宋体" w:cs="宋体"/>
          <w:sz w:val="21"/>
        </w:rPr>
      </w:pPr>
      <w:r>
        <w:rPr>
          <w:rFonts w:hint="eastAsia" w:hAnsi="宋体" w:cs="宋体"/>
          <w:sz w:val="21"/>
        </w:rPr>
        <w:t>（2）供应商按照采购人或者采购代理机构的授意撤换、修改响应文件；</w:t>
      </w:r>
    </w:p>
    <w:p w14:paraId="54B6FF69">
      <w:pPr>
        <w:pStyle w:val="21"/>
        <w:snapToGrid w:val="0"/>
        <w:spacing w:line="400" w:lineRule="exact"/>
        <w:ind w:left="2" w:leftChars="1" w:firstLine="420" w:firstLineChars="200"/>
        <w:rPr>
          <w:rFonts w:hAnsi="宋体" w:cs="宋体"/>
          <w:sz w:val="21"/>
        </w:rPr>
      </w:pPr>
      <w:r>
        <w:rPr>
          <w:rFonts w:hint="eastAsia" w:hAnsi="宋体" w:cs="宋体"/>
          <w:sz w:val="21"/>
        </w:rPr>
        <w:t>（3）供应商之间协商报价、技术方案等响应文件的实质性内容；</w:t>
      </w:r>
    </w:p>
    <w:p w14:paraId="29BCFD10">
      <w:pPr>
        <w:pStyle w:val="21"/>
        <w:snapToGrid w:val="0"/>
        <w:spacing w:line="400" w:lineRule="exact"/>
        <w:ind w:left="2" w:leftChars="1" w:firstLine="420" w:firstLineChars="200"/>
        <w:rPr>
          <w:rFonts w:hAnsi="宋体" w:cs="宋体"/>
          <w:sz w:val="21"/>
        </w:rPr>
      </w:pPr>
      <w:r>
        <w:rPr>
          <w:rFonts w:hint="eastAsia" w:hAnsi="宋体" w:cs="宋体"/>
          <w:sz w:val="21"/>
        </w:rPr>
        <w:t>（4）供应商之间事先约定一致抬高或者压低报价,或者在采购项目中事先约定轮流以高价位或者低价位成交,或者事先约定由某一特定供应商成交,然后再参加磋商；</w:t>
      </w:r>
    </w:p>
    <w:p w14:paraId="5BE25B95">
      <w:pPr>
        <w:pStyle w:val="21"/>
        <w:snapToGrid w:val="0"/>
        <w:spacing w:line="400" w:lineRule="exact"/>
        <w:ind w:left="2" w:leftChars="1" w:firstLine="420" w:firstLineChars="200"/>
        <w:rPr>
          <w:rFonts w:hAnsi="宋体" w:cs="宋体"/>
          <w:sz w:val="21"/>
        </w:rPr>
      </w:pPr>
      <w:r>
        <w:rPr>
          <w:rFonts w:hint="eastAsia" w:hAnsi="宋体" w:cs="宋体"/>
          <w:sz w:val="21"/>
        </w:rPr>
        <w:t>（5）供应商之间商定部分供应商放弃参加采购活动或者放弃成交；</w:t>
      </w:r>
    </w:p>
    <w:p w14:paraId="05AB8FB8">
      <w:pPr>
        <w:pStyle w:val="21"/>
        <w:snapToGrid w:val="0"/>
        <w:spacing w:line="400" w:lineRule="exact"/>
        <w:ind w:left="2" w:leftChars="1" w:firstLine="420" w:firstLineChars="200"/>
        <w:rPr>
          <w:rFonts w:hAnsi="宋体" w:cs="宋体"/>
          <w:sz w:val="21"/>
        </w:rPr>
      </w:pPr>
      <w:r>
        <w:rPr>
          <w:rFonts w:hint="eastAsia" w:hAnsi="宋体" w:cs="宋体"/>
          <w:sz w:val="21"/>
        </w:rPr>
        <w:t>（6）供应商与采购人或者采购代理机构之间、供应商相互之间，为谋求特定供应商成交或者排斥其他供应商的其他串通行为。</w:t>
      </w:r>
    </w:p>
    <w:p w14:paraId="4ACFAE17">
      <w:pPr>
        <w:widowControl/>
        <w:spacing w:line="400" w:lineRule="exact"/>
        <w:ind w:firstLine="422" w:firstLineChars="201"/>
        <w:jc w:val="left"/>
        <w:rPr>
          <w:rFonts w:ascii="宋体" w:hAnsi="宋体" w:cs="宋体"/>
          <w:szCs w:val="21"/>
        </w:rPr>
      </w:pPr>
      <w:r>
        <w:rPr>
          <w:rFonts w:hint="eastAsia" w:ascii="宋体" w:hAnsi="宋体" w:cs="宋体"/>
          <w:szCs w:val="21"/>
        </w:rPr>
        <w:t>24. 出现下列情形之一的，采购人或者采购代理机构应当终止竞争性磋商采购活动，发布项目终止公告并说明原因，重新开展采购活动：</w:t>
      </w:r>
    </w:p>
    <w:p w14:paraId="30332985">
      <w:pPr>
        <w:widowControl/>
        <w:spacing w:line="400" w:lineRule="exact"/>
        <w:ind w:firstLine="422" w:firstLineChars="201"/>
        <w:jc w:val="left"/>
        <w:rPr>
          <w:rFonts w:ascii="宋体" w:hAnsi="宋体" w:cs="宋体"/>
          <w:szCs w:val="21"/>
        </w:rPr>
      </w:pPr>
      <w:r>
        <w:rPr>
          <w:rFonts w:hint="eastAsia" w:ascii="宋体" w:hAnsi="宋体" w:cs="宋体"/>
          <w:szCs w:val="21"/>
        </w:rPr>
        <w:t>24.1因情况变化，不再符合规定的竞争性磋商采购方式适用情形的；</w:t>
      </w:r>
    </w:p>
    <w:p w14:paraId="32833304">
      <w:pPr>
        <w:widowControl/>
        <w:spacing w:line="400" w:lineRule="exact"/>
        <w:ind w:firstLine="422" w:firstLineChars="201"/>
        <w:jc w:val="left"/>
        <w:rPr>
          <w:rFonts w:ascii="宋体" w:hAnsi="宋体" w:cs="宋体"/>
          <w:szCs w:val="21"/>
        </w:rPr>
      </w:pPr>
      <w:r>
        <w:rPr>
          <w:rFonts w:hint="eastAsia" w:ascii="宋体" w:hAnsi="宋体" w:cs="宋体"/>
          <w:szCs w:val="21"/>
        </w:rPr>
        <w:t>24.2出现影响采购公正的违法、违规行为的；</w:t>
      </w:r>
    </w:p>
    <w:p w14:paraId="36450E74">
      <w:pPr>
        <w:widowControl/>
        <w:spacing w:line="400" w:lineRule="exact"/>
        <w:ind w:firstLine="422" w:firstLineChars="201"/>
        <w:jc w:val="left"/>
        <w:rPr>
          <w:rFonts w:ascii="宋体" w:hAnsi="宋体" w:cs="宋体"/>
          <w:szCs w:val="21"/>
        </w:rPr>
      </w:pPr>
      <w:r>
        <w:rPr>
          <w:rFonts w:hint="eastAsia" w:ascii="宋体" w:hAnsi="宋体" w:cs="宋体"/>
          <w:szCs w:val="21"/>
        </w:rPr>
        <w:t>24.3除本须知19.5.3、19.5.4及法律法规规定的情形外，在采购过程中符合要求的供应商或者报价未超过采购预算的供应商不足3家的。</w:t>
      </w:r>
    </w:p>
    <w:p w14:paraId="0E0DA5D7">
      <w:pPr>
        <w:widowControl/>
        <w:spacing w:line="400" w:lineRule="exact"/>
        <w:ind w:firstLine="422" w:firstLineChars="201"/>
        <w:jc w:val="left"/>
        <w:rPr>
          <w:rFonts w:ascii="宋体" w:hAnsi="宋体" w:cs="宋体"/>
          <w:szCs w:val="21"/>
        </w:rPr>
      </w:pPr>
      <w:r>
        <w:rPr>
          <w:rFonts w:hint="eastAsia" w:ascii="宋体" w:hAnsi="宋体" w:cs="宋体"/>
          <w:szCs w:val="21"/>
        </w:rPr>
        <w:t>25.在采购活动中因重大变故，采购任务取消的，采购人或者采购代理机构应当终止采购活动，通知所有参加采购活动的供应商。</w:t>
      </w:r>
    </w:p>
    <w:p w14:paraId="6AA53390">
      <w:pPr>
        <w:snapToGrid w:val="0"/>
        <w:spacing w:line="420" w:lineRule="exact"/>
        <w:jc w:val="center"/>
        <w:outlineLvl w:val="1"/>
        <w:rPr>
          <w:rFonts w:ascii="宋体" w:hAnsi="宋体"/>
          <w:b/>
          <w:sz w:val="32"/>
          <w:szCs w:val="32"/>
        </w:rPr>
      </w:pPr>
      <w:r>
        <w:rPr>
          <w:rFonts w:hint="eastAsia" w:ascii="宋体" w:hAnsi="宋体"/>
          <w:b/>
          <w:sz w:val="32"/>
          <w:szCs w:val="32"/>
        </w:rPr>
        <w:t>五、确定成交供应商办法及结果公告</w:t>
      </w:r>
    </w:p>
    <w:p w14:paraId="0B674E84">
      <w:pPr>
        <w:spacing w:line="400" w:lineRule="exact"/>
        <w:ind w:firstLine="422" w:firstLineChars="201"/>
        <w:rPr>
          <w:rFonts w:ascii="宋体" w:hAnsi="宋体" w:cs="宋体"/>
          <w:kern w:val="0"/>
          <w:szCs w:val="21"/>
        </w:rPr>
      </w:pPr>
      <w:r>
        <w:rPr>
          <w:rFonts w:hint="eastAsia" w:ascii="宋体" w:hAnsi="宋体" w:cs="宋体"/>
          <w:szCs w:val="21"/>
        </w:rPr>
        <w:t>26.</w:t>
      </w:r>
      <w:r>
        <w:rPr>
          <w:rFonts w:hint="eastAsia" w:ascii="宋体" w:hAnsi="宋体" w:cs="宋体"/>
          <w:kern w:val="0"/>
          <w:szCs w:val="21"/>
        </w:rPr>
        <w:t>采购代理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1CF4224">
      <w:pPr>
        <w:spacing w:line="400" w:lineRule="exact"/>
        <w:ind w:firstLine="422" w:firstLineChars="201"/>
        <w:rPr>
          <w:rFonts w:ascii="宋体" w:hAnsi="宋体" w:cs="宋体"/>
          <w:szCs w:val="21"/>
        </w:rPr>
      </w:pPr>
      <w:r>
        <w:rPr>
          <w:rFonts w:hint="eastAsia" w:ascii="宋体" w:hAnsi="宋体" w:cs="宋体"/>
          <w:szCs w:val="21"/>
        </w:rPr>
        <w:t>27.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采购严重违法失信行为记录名单的供应商，取消其成交资格，并确定排名第二的成交候选人为成交供应商。</w:t>
      </w:r>
    </w:p>
    <w:p w14:paraId="7BAC1FFB">
      <w:pPr>
        <w:spacing w:line="400" w:lineRule="exact"/>
        <w:ind w:firstLine="426"/>
        <w:rPr>
          <w:rFonts w:ascii="宋体" w:hAnsi="宋体" w:cs="宋体"/>
          <w:szCs w:val="21"/>
        </w:rPr>
      </w:pPr>
      <w:r>
        <w:rPr>
          <w:rFonts w:hint="eastAsia" w:ascii="宋体" w:hAnsi="宋体" w:cs="宋体"/>
          <w:szCs w:val="21"/>
        </w:rPr>
        <w:t>排名第二的成交候选人因前款规定的同样原因被取消成交资格的，采购人可以确定排名第三的成交候选人为成交人。</w:t>
      </w:r>
    </w:p>
    <w:p w14:paraId="219E1493">
      <w:pPr>
        <w:spacing w:line="400" w:lineRule="exact"/>
        <w:ind w:firstLine="426"/>
        <w:rPr>
          <w:rFonts w:ascii="宋体" w:hAnsi="宋体" w:cs="宋体"/>
          <w:b/>
          <w:szCs w:val="21"/>
        </w:rPr>
      </w:pPr>
      <w:r>
        <w:rPr>
          <w:rFonts w:hint="eastAsia" w:ascii="宋体" w:hAnsi="宋体" w:cs="宋体"/>
          <w:szCs w:val="21"/>
        </w:rPr>
        <w:t>以上信息查询记录及相关证据与采购文件一并保存。</w:t>
      </w:r>
    </w:p>
    <w:p w14:paraId="4ADF74B4">
      <w:pPr>
        <w:snapToGrid w:val="0"/>
        <w:spacing w:line="420" w:lineRule="exact"/>
        <w:jc w:val="center"/>
        <w:outlineLvl w:val="1"/>
        <w:rPr>
          <w:rFonts w:ascii="宋体" w:hAnsi="宋体"/>
          <w:b/>
          <w:sz w:val="32"/>
          <w:szCs w:val="32"/>
        </w:rPr>
      </w:pPr>
      <w:r>
        <w:rPr>
          <w:rFonts w:hint="eastAsia" w:ascii="宋体" w:hAnsi="宋体"/>
          <w:b/>
          <w:sz w:val="32"/>
          <w:szCs w:val="32"/>
        </w:rPr>
        <w:t>六、履约保证金</w:t>
      </w:r>
    </w:p>
    <w:p w14:paraId="250F8793">
      <w:pPr>
        <w:spacing w:line="400" w:lineRule="exact"/>
        <w:ind w:firstLine="422" w:firstLineChars="201"/>
        <w:rPr>
          <w:rFonts w:ascii="宋体" w:hAnsi="宋体" w:cs="宋体"/>
          <w:szCs w:val="21"/>
        </w:rPr>
      </w:pPr>
      <w:r>
        <w:rPr>
          <w:rFonts w:hint="eastAsia" w:ascii="宋体" w:hAnsi="宋体" w:cs="宋体"/>
          <w:szCs w:val="21"/>
        </w:rPr>
        <w:t>28.成交供应商须于签订合同前按本须知前附表规定的金额直接缴入指定账户。否则，不予签订合同。</w:t>
      </w:r>
    </w:p>
    <w:p w14:paraId="6F220C0E">
      <w:pPr>
        <w:spacing w:line="400" w:lineRule="exact"/>
        <w:ind w:firstLine="422" w:firstLineChars="201"/>
        <w:rPr>
          <w:rFonts w:ascii="宋体" w:hAnsi="宋体" w:cs="宋体"/>
          <w:szCs w:val="21"/>
        </w:rPr>
      </w:pPr>
      <w:r>
        <w:rPr>
          <w:rFonts w:hint="eastAsia" w:ascii="宋体" w:hAnsi="宋体" w:cs="宋体"/>
          <w:szCs w:val="21"/>
        </w:rPr>
        <w:t>29.签订合同后，如成交供应商不按双方签订的合同规定履约，则没收其全部履约保证金，履约保证金不足以赔偿损失的，按实际损失赔偿。</w:t>
      </w:r>
    </w:p>
    <w:p w14:paraId="7549410A">
      <w:pPr>
        <w:spacing w:line="400" w:lineRule="exact"/>
        <w:ind w:firstLine="422" w:firstLineChars="201"/>
        <w:rPr>
          <w:rFonts w:ascii="宋体" w:hAnsi="宋体" w:cs="宋体"/>
          <w:szCs w:val="21"/>
        </w:rPr>
      </w:pPr>
      <w:r>
        <w:rPr>
          <w:rFonts w:hint="eastAsia" w:ascii="宋体" w:hAnsi="宋体" w:cs="宋体"/>
          <w:szCs w:val="21"/>
        </w:rPr>
        <w:t>30.履约保证金在成交供应商按合同约定交货验收合格后，由履约保证金收取单位在接采购人书面退付意见（详见附表）后15个工作日内以银行转帐方式如数退还（不计利息）。</w:t>
      </w:r>
    </w:p>
    <w:p w14:paraId="4E91D92E">
      <w:pPr>
        <w:spacing w:line="400" w:lineRule="exact"/>
        <w:ind w:firstLine="422" w:firstLineChars="201"/>
        <w:rPr>
          <w:rFonts w:ascii="宋体" w:hAnsi="宋体" w:cs="宋体"/>
          <w:b/>
          <w:szCs w:val="21"/>
        </w:rPr>
      </w:pPr>
      <w:r>
        <w:rPr>
          <w:rFonts w:hint="eastAsia" w:ascii="宋体" w:hAnsi="宋体" w:cs="宋体"/>
          <w:szCs w:val="21"/>
        </w:rPr>
        <w:t>31.在履约保证金退还日期前，若成交供应商的开户名称、开户银行、帐号有变动的，请以书面形式通知履约保证金收取单位，否则由此产生的后果由成交供应商自负。</w:t>
      </w:r>
    </w:p>
    <w:p w14:paraId="1B7D6F1C">
      <w:pPr>
        <w:snapToGrid w:val="0"/>
        <w:spacing w:line="420" w:lineRule="exact"/>
        <w:jc w:val="center"/>
        <w:outlineLvl w:val="1"/>
        <w:rPr>
          <w:rFonts w:ascii="宋体" w:hAnsi="宋体"/>
          <w:b/>
          <w:sz w:val="32"/>
          <w:szCs w:val="32"/>
        </w:rPr>
      </w:pPr>
    </w:p>
    <w:p w14:paraId="0F2A9B9B">
      <w:pPr>
        <w:snapToGrid w:val="0"/>
        <w:spacing w:line="420" w:lineRule="exact"/>
        <w:jc w:val="center"/>
        <w:outlineLvl w:val="1"/>
        <w:rPr>
          <w:rFonts w:ascii="宋体" w:hAnsi="宋体"/>
          <w:b/>
          <w:sz w:val="32"/>
          <w:szCs w:val="32"/>
        </w:rPr>
      </w:pPr>
      <w:r>
        <w:rPr>
          <w:rFonts w:hint="eastAsia" w:ascii="宋体" w:hAnsi="宋体"/>
          <w:b/>
          <w:sz w:val="32"/>
          <w:szCs w:val="32"/>
        </w:rPr>
        <w:t>七、签订合同</w:t>
      </w:r>
    </w:p>
    <w:p w14:paraId="1AB4D76F">
      <w:pPr>
        <w:spacing w:line="400" w:lineRule="exact"/>
        <w:ind w:firstLine="422" w:firstLineChars="201"/>
        <w:rPr>
          <w:rFonts w:ascii="宋体" w:hAnsi="宋体" w:cs="宋体"/>
          <w:szCs w:val="21"/>
        </w:rPr>
      </w:pPr>
      <w:r>
        <w:rPr>
          <w:rFonts w:hint="eastAsia" w:ascii="宋体" w:hAnsi="宋体" w:cs="宋体"/>
          <w:szCs w:val="21"/>
        </w:rPr>
        <w:t>32.成交供应商在收到成交通知书后，按规定与采购人签订采购合同。</w:t>
      </w:r>
    </w:p>
    <w:p w14:paraId="69FE042E">
      <w:pPr>
        <w:spacing w:line="400" w:lineRule="exact"/>
        <w:ind w:firstLine="422" w:firstLineChars="201"/>
        <w:rPr>
          <w:rFonts w:ascii="宋体" w:hAnsi="宋体" w:cs="宋体"/>
          <w:szCs w:val="21"/>
        </w:rPr>
      </w:pPr>
      <w:r>
        <w:rPr>
          <w:rFonts w:hint="eastAsia" w:ascii="宋体" w:hAnsi="宋体" w:cs="宋体"/>
          <w:szCs w:val="21"/>
        </w:rPr>
        <w:t>33.成交供应商拒绝签订采购合同的，采购人可以按本项目确定成交供应商办法确定其他供应商作为成交供应商并签订采购合同，也可以重新开展采购活动。</w:t>
      </w:r>
    </w:p>
    <w:p w14:paraId="6C2A03DB">
      <w:pPr>
        <w:spacing w:line="400" w:lineRule="exact"/>
        <w:ind w:firstLine="422" w:firstLineChars="201"/>
        <w:rPr>
          <w:rFonts w:ascii="宋体" w:hAnsi="宋体" w:cs="宋体"/>
          <w:szCs w:val="21"/>
        </w:rPr>
      </w:pPr>
      <w:r>
        <w:rPr>
          <w:rFonts w:hint="eastAsia" w:ascii="宋体" w:hAnsi="宋体" w:cs="宋体"/>
        </w:rPr>
        <w:t xml:space="preserve">34. </w:t>
      </w:r>
      <w:r>
        <w:rPr>
          <w:rFonts w:hint="eastAsia" w:ascii="宋体" w:hAnsi="宋体" w:cs="宋体"/>
          <w:szCs w:val="21"/>
        </w:rPr>
        <w:t>拒绝签订采购合同的成交供应商不得参加对该项目重新开展的采购活动。</w:t>
      </w:r>
    </w:p>
    <w:p w14:paraId="447CBEFD">
      <w:pPr>
        <w:snapToGrid w:val="0"/>
        <w:spacing w:line="420" w:lineRule="exact"/>
        <w:jc w:val="center"/>
        <w:outlineLvl w:val="1"/>
        <w:rPr>
          <w:rFonts w:ascii="宋体" w:hAnsi="宋体"/>
          <w:b/>
          <w:sz w:val="32"/>
          <w:szCs w:val="32"/>
        </w:rPr>
      </w:pPr>
      <w:r>
        <w:rPr>
          <w:rFonts w:hint="eastAsia" w:ascii="宋体" w:hAnsi="宋体"/>
          <w:b/>
          <w:sz w:val="32"/>
          <w:szCs w:val="32"/>
        </w:rPr>
        <w:t>八、其它内容</w:t>
      </w:r>
    </w:p>
    <w:p w14:paraId="3A61CBDC">
      <w:pPr>
        <w:tabs>
          <w:tab w:val="left" w:pos="2835"/>
        </w:tabs>
        <w:spacing w:line="400" w:lineRule="exact"/>
        <w:ind w:firstLine="422" w:firstLineChars="201"/>
        <w:rPr>
          <w:rFonts w:ascii="宋体" w:hAnsi="宋体" w:cs="宋体"/>
          <w:szCs w:val="21"/>
        </w:rPr>
      </w:pPr>
      <w:r>
        <w:rPr>
          <w:rFonts w:hint="eastAsia" w:ascii="宋体" w:hAnsi="宋体" w:cs="宋体"/>
          <w:szCs w:val="21"/>
        </w:rPr>
        <w:t>35.代理服务费</w:t>
      </w:r>
    </w:p>
    <w:p w14:paraId="02499CDF">
      <w:pPr>
        <w:tabs>
          <w:tab w:val="left" w:pos="2835"/>
        </w:tabs>
        <w:spacing w:line="400" w:lineRule="exact"/>
        <w:ind w:firstLine="422" w:firstLineChars="201"/>
        <w:rPr>
          <w:rFonts w:ascii="宋体" w:hAnsi="宋体" w:cs="宋体"/>
          <w:szCs w:val="21"/>
        </w:rPr>
      </w:pPr>
      <w:r>
        <w:rPr>
          <w:rFonts w:hint="eastAsia" w:ascii="宋体" w:hAnsi="宋体" w:cs="宋体"/>
          <w:szCs w:val="21"/>
        </w:rPr>
        <w:t>35.1代理服务收费标准：根据采购人与代理人签订的《代理合同》支付专家评审费及代理服务费，本项目委托代理服务费按收费标准（货物类）计取，由成交人在领取成交通知书时，一次性向采购代理机构支付。</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14:paraId="49CA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95" w:type="dxa"/>
          </w:tcPr>
          <w:p w14:paraId="0B80ADB4">
            <w:pPr>
              <w:spacing w:line="380" w:lineRule="exact"/>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-6350</wp:posOffset>
                      </wp:positionV>
                      <wp:extent cx="1803400" cy="480060"/>
                      <wp:effectExtent l="1270" t="4445" r="5080" b="10795"/>
                      <wp:wrapNone/>
                      <wp:docPr id="4" name="直接连接符 4"/>
                      <wp:cNvGraphicFramePr/>
                      <a:graphic xmlns:a="http://schemas.openxmlformats.org/drawingml/2006/main">
                        <a:graphicData uri="http://schemas.microsoft.com/office/word/2010/wordprocessingShape">
                          <wps:wsp>
                            <wps:cNvCnPr/>
                            <wps:spPr>
                              <a:xfrm>
                                <a:off x="0" y="0"/>
                                <a:ext cx="1803400" cy="480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0.5pt;height:37.8pt;width:142pt;z-index:251661312;mso-width-relative:page;mso-height-relative:page;" filled="f" stroked="t" coordsize="21600,21600" o:gfxdata="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kJnP2AAAAAkBAAAPAAAAAAAAAAEAIAAAACIAAABkcnMvZG93bnJldi54bWxQSwECFAAU&#10;AAAACACHTuJAlWQ3WfEBAADdAwAADgAAAAAAAAABACAAAAAnAQAAZHJzL2Uyb0RvYy54bWxQSwUG&#10;AAAAAAYABgBZAQAAigUAAAAA&#10;">
                      <v:fill on="f" focussize="0,0"/>
                      <v:stroke color="#000000" joinstyle="round"/>
                      <v:imagedata o:title=""/>
                      <o:lock v:ext="edit" aspectratio="f"/>
                    </v:line>
                  </w:pict>
                </mc:Fallback>
              </mc:AlternateContent>
            </w:r>
            <w:r>
              <w:rPr>
                <w:rFonts w:hint="eastAsia" w:ascii="宋体" w:hAnsi="宋体" w:cs="宋体"/>
                <w:szCs w:val="21"/>
              </w:rPr>
              <w:t xml:space="preserve">                费率</w:t>
            </w:r>
          </w:p>
          <w:p w14:paraId="1886B3ED">
            <w:pPr>
              <w:spacing w:line="380" w:lineRule="exact"/>
              <w:rPr>
                <w:rFonts w:ascii="宋体" w:hAnsi="宋体" w:cs="宋体"/>
                <w:szCs w:val="21"/>
              </w:rPr>
            </w:pPr>
            <w:r>
              <w:rPr>
                <w:rFonts w:hint="eastAsia" w:ascii="宋体" w:hAnsi="宋体" w:cs="宋体"/>
                <w:szCs w:val="21"/>
              </w:rPr>
              <w:t>成交金额</w:t>
            </w:r>
          </w:p>
        </w:tc>
        <w:tc>
          <w:tcPr>
            <w:tcW w:w="1923" w:type="dxa"/>
            <w:vAlign w:val="center"/>
          </w:tcPr>
          <w:p w14:paraId="4B7247DD">
            <w:pPr>
              <w:spacing w:line="380" w:lineRule="exact"/>
              <w:ind w:firstLine="105" w:firstLineChars="50"/>
              <w:jc w:val="center"/>
              <w:rPr>
                <w:rFonts w:ascii="宋体" w:hAnsi="宋体" w:cs="宋体"/>
                <w:szCs w:val="21"/>
              </w:rPr>
            </w:pPr>
            <w:r>
              <w:rPr>
                <w:rFonts w:hint="eastAsia" w:ascii="宋体" w:hAnsi="宋体" w:cs="宋体"/>
                <w:szCs w:val="21"/>
              </w:rPr>
              <w:t>货物类</w:t>
            </w:r>
          </w:p>
        </w:tc>
        <w:tc>
          <w:tcPr>
            <w:tcW w:w="1912" w:type="dxa"/>
            <w:vAlign w:val="center"/>
          </w:tcPr>
          <w:p w14:paraId="1D14DBE3">
            <w:pPr>
              <w:spacing w:line="380" w:lineRule="exact"/>
              <w:jc w:val="center"/>
              <w:rPr>
                <w:rFonts w:ascii="宋体" w:hAnsi="宋体" w:cs="宋体"/>
                <w:szCs w:val="21"/>
              </w:rPr>
            </w:pPr>
            <w:r>
              <w:rPr>
                <w:rFonts w:hint="eastAsia" w:ascii="宋体" w:hAnsi="宋体" w:cs="宋体"/>
                <w:szCs w:val="21"/>
              </w:rPr>
              <w:t>服务类</w:t>
            </w:r>
          </w:p>
        </w:tc>
        <w:tc>
          <w:tcPr>
            <w:tcW w:w="1747" w:type="dxa"/>
            <w:vAlign w:val="center"/>
          </w:tcPr>
          <w:p w14:paraId="3C608E8F">
            <w:pPr>
              <w:spacing w:line="380" w:lineRule="exact"/>
              <w:jc w:val="center"/>
              <w:rPr>
                <w:rFonts w:ascii="宋体" w:hAnsi="宋体" w:cs="宋体"/>
                <w:szCs w:val="21"/>
              </w:rPr>
            </w:pPr>
            <w:r>
              <w:rPr>
                <w:rFonts w:hint="eastAsia" w:ascii="宋体" w:hAnsi="宋体" w:cs="宋体"/>
                <w:szCs w:val="21"/>
              </w:rPr>
              <w:t>工程类</w:t>
            </w:r>
          </w:p>
        </w:tc>
      </w:tr>
      <w:tr w14:paraId="496F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14:paraId="268DD7E6">
            <w:pPr>
              <w:spacing w:line="380" w:lineRule="exact"/>
              <w:rPr>
                <w:rFonts w:ascii="宋体" w:hAnsi="宋体" w:cs="宋体"/>
                <w:szCs w:val="21"/>
              </w:rPr>
            </w:pPr>
            <w:r>
              <w:rPr>
                <w:rFonts w:hint="eastAsia" w:ascii="宋体" w:hAnsi="宋体" w:cs="宋体"/>
                <w:szCs w:val="21"/>
              </w:rPr>
              <w:t>100万元以下</w:t>
            </w:r>
          </w:p>
        </w:tc>
        <w:tc>
          <w:tcPr>
            <w:tcW w:w="1923" w:type="dxa"/>
            <w:vAlign w:val="center"/>
          </w:tcPr>
          <w:p w14:paraId="76E44692">
            <w:pPr>
              <w:spacing w:line="380" w:lineRule="exact"/>
              <w:jc w:val="center"/>
              <w:rPr>
                <w:rFonts w:ascii="宋体" w:hAnsi="宋体" w:cs="宋体"/>
                <w:szCs w:val="21"/>
              </w:rPr>
            </w:pPr>
            <w:r>
              <w:rPr>
                <w:rFonts w:hint="eastAsia" w:ascii="宋体" w:hAnsi="宋体" w:cs="宋体"/>
                <w:kern w:val="0"/>
                <w:szCs w:val="21"/>
              </w:rPr>
              <w:t>1.5%</w:t>
            </w:r>
          </w:p>
        </w:tc>
        <w:tc>
          <w:tcPr>
            <w:tcW w:w="1912" w:type="dxa"/>
            <w:vAlign w:val="center"/>
          </w:tcPr>
          <w:p w14:paraId="71499681">
            <w:pPr>
              <w:spacing w:line="380" w:lineRule="exact"/>
              <w:jc w:val="center"/>
              <w:rPr>
                <w:rFonts w:ascii="宋体" w:hAnsi="宋体" w:cs="宋体"/>
                <w:szCs w:val="21"/>
              </w:rPr>
            </w:pPr>
            <w:r>
              <w:rPr>
                <w:rFonts w:hint="eastAsia" w:ascii="宋体" w:hAnsi="宋体" w:cs="宋体"/>
                <w:kern w:val="0"/>
                <w:szCs w:val="21"/>
              </w:rPr>
              <w:t>1.5%</w:t>
            </w:r>
          </w:p>
        </w:tc>
        <w:tc>
          <w:tcPr>
            <w:tcW w:w="1747" w:type="dxa"/>
            <w:vAlign w:val="center"/>
          </w:tcPr>
          <w:p w14:paraId="14BD2ABE">
            <w:pPr>
              <w:spacing w:line="380" w:lineRule="exact"/>
              <w:jc w:val="center"/>
              <w:rPr>
                <w:rFonts w:ascii="宋体" w:hAnsi="宋体" w:cs="宋体"/>
                <w:szCs w:val="21"/>
              </w:rPr>
            </w:pPr>
            <w:r>
              <w:rPr>
                <w:rFonts w:hint="eastAsia" w:ascii="宋体" w:hAnsi="宋体" w:cs="宋体"/>
                <w:kern w:val="0"/>
                <w:szCs w:val="21"/>
              </w:rPr>
              <w:t>1.0%</w:t>
            </w:r>
          </w:p>
        </w:tc>
      </w:tr>
      <w:tr w14:paraId="2003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14:paraId="66A317B9">
            <w:pPr>
              <w:spacing w:line="380" w:lineRule="exact"/>
              <w:rPr>
                <w:rFonts w:ascii="宋体" w:hAnsi="宋体" w:cs="宋体"/>
                <w:szCs w:val="21"/>
              </w:rPr>
            </w:pPr>
            <w:r>
              <w:rPr>
                <w:rFonts w:hint="eastAsia" w:ascii="宋体" w:hAnsi="宋体" w:cs="宋体"/>
                <w:szCs w:val="21"/>
              </w:rPr>
              <w:t>100～500万元</w:t>
            </w:r>
          </w:p>
        </w:tc>
        <w:tc>
          <w:tcPr>
            <w:tcW w:w="1923" w:type="dxa"/>
            <w:vAlign w:val="center"/>
          </w:tcPr>
          <w:p w14:paraId="00D927CE">
            <w:pPr>
              <w:spacing w:line="380" w:lineRule="exact"/>
              <w:jc w:val="center"/>
              <w:rPr>
                <w:rFonts w:ascii="宋体" w:hAnsi="宋体" w:cs="宋体"/>
                <w:szCs w:val="21"/>
              </w:rPr>
            </w:pPr>
            <w:r>
              <w:rPr>
                <w:rFonts w:hint="eastAsia" w:ascii="宋体" w:hAnsi="宋体" w:cs="宋体"/>
                <w:kern w:val="0"/>
                <w:szCs w:val="21"/>
              </w:rPr>
              <w:t>1.1%</w:t>
            </w:r>
          </w:p>
        </w:tc>
        <w:tc>
          <w:tcPr>
            <w:tcW w:w="1912" w:type="dxa"/>
            <w:vAlign w:val="center"/>
          </w:tcPr>
          <w:p w14:paraId="1614649F">
            <w:pPr>
              <w:spacing w:line="380" w:lineRule="exact"/>
              <w:jc w:val="center"/>
              <w:rPr>
                <w:rFonts w:ascii="宋体" w:hAnsi="宋体" w:cs="宋体"/>
                <w:szCs w:val="21"/>
              </w:rPr>
            </w:pPr>
            <w:r>
              <w:rPr>
                <w:rFonts w:hint="eastAsia" w:ascii="宋体" w:hAnsi="宋体" w:cs="宋体"/>
                <w:kern w:val="0"/>
                <w:szCs w:val="21"/>
              </w:rPr>
              <w:t>0.8%</w:t>
            </w:r>
          </w:p>
        </w:tc>
        <w:tc>
          <w:tcPr>
            <w:tcW w:w="1747" w:type="dxa"/>
            <w:vAlign w:val="center"/>
          </w:tcPr>
          <w:p w14:paraId="38EED43B">
            <w:pPr>
              <w:spacing w:line="380" w:lineRule="exact"/>
              <w:jc w:val="center"/>
              <w:rPr>
                <w:rFonts w:ascii="宋体" w:hAnsi="宋体" w:cs="宋体"/>
                <w:szCs w:val="21"/>
              </w:rPr>
            </w:pPr>
            <w:r>
              <w:rPr>
                <w:rFonts w:hint="eastAsia" w:ascii="宋体" w:hAnsi="宋体" w:cs="宋体"/>
                <w:kern w:val="0"/>
                <w:szCs w:val="21"/>
              </w:rPr>
              <w:t>0.7%</w:t>
            </w:r>
          </w:p>
        </w:tc>
      </w:tr>
      <w:tr w14:paraId="1F9F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14:paraId="77AD295D">
            <w:pPr>
              <w:spacing w:line="380" w:lineRule="exact"/>
              <w:rPr>
                <w:rFonts w:ascii="宋体" w:hAnsi="宋体" w:cs="宋体"/>
                <w:szCs w:val="21"/>
              </w:rPr>
            </w:pPr>
            <w:r>
              <w:rPr>
                <w:rFonts w:hint="eastAsia" w:ascii="宋体" w:hAnsi="宋体" w:cs="宋体"/>
                <w:szCs w:val="21"/>
              </w:rPr>
              <w:t>500～1000万元</w:t>
            </w:r>
          </w:p>
        </w:tc>
        <w:tc>
          <w:tcPr>
            <w:tcW w:w="1923" w:type="dxa"/>
            <w:vAlign w:val="center"/>
          </w:tcPr>
          <w:p w14:paraId="2FBE81B8">
            <w:pPr>
              <w:spacing w:line="380" w:lineRule="exact"/>
              <w:jc w:val="center"/>
              <w:rPr>
                <w:rFonts w:ascii="宋体" w:hAnsi="宋体" w:cs="宋体"/>
                <w:szCs w:val="21"/>
              </w:rPr>
            </w:pPr>
            <w:r>
              <w:rPr>
                <w:rFonts w:hint="eastAsia" w:ascii="宋体" w:hAnsi="宋体" w:cs="宋体"/>
                <w:kern w:val="0"/>
                <w:szCs w:val="21"/>
              </w:rPr>
              <w:t>0.8%</w:t>
            </w:r>
          </w:p>
        </w:tc>
        <w:tc>
          <w:tcPr>
            <w:tcW w:w="1912" w:type="dxa"/>
            <w:vAlign w:val="center"/>
          </w:tcPr>
          <w:p w14:paraId="23EB3D9C">
            <w:pPr>
              <w:spacing w:line="380" w:lineRule="exact"/>
              <w:jc w:val="center"/>
              <w:rPr>
                <w:rFonts w:ascii="宋体" w:hAnsi="宋体" w:cs="宋体"/>
                <w:szCs w:val="21"/>
              </w:rPr>
            </w:pPr>
            <w:r>
              <w:rPr>
                <w:rFonts w:hint="eastAsia" w:ascii="宋体" w:hAnsi="宋体" w:cs="宋体"/>
                <w:kern w:val="0"/>
                <w:szCs w:val="21"/>
              </w:rPr>
              <w:t>0.45%</w:t>
            </w:r>
          </w:p>
        </w:tc>
        <w:tc>
          <w:tcPr>
            <w:tcW w:w="1747" w:type="dxa"/>
            <w:vAlign w:val="center"/>
          </w:tcPr>
          <w:p w14:paraId="249ECA1B">
            <w:pPr>
              <w:spacing w:line="380" w:lineRule="exact"/>
              <w:jc w:val="center"/>
              <w:rPr>
                <w:rFonts w:ascii="宋体" w:hAnsi="宋体" w:cs="宋体"/>
                <w:szCs w:val="21"/>
              </w:rPr>
            </w:pPr>
            <w:r>
              <w:rPr>
                <w:rFonts w:hint="eastAsia" w:ascii="宋体" w:hAnsi="宋体" w:cs="宋体"/>
                <w:kern w:val="0"/>
                <w:szCs w:val="21"/>
              </w:rPr>
              <w:t>0.55%</w:t>
            </w:r>
          </w:p>
        </w:tc>
      </w:tr>
      <w:tr w14:paraId="67B8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14:paraId="0892C7EC">
            <w:pPr>
              <w:spacing w:line="380" w:lineRule="exact"/>
              <w:rPr>
                <w:rFonts w:ascii="宋体" w:hAnsi="宋体" w:cs="宋体"/>
                <w:szCs w:val="21"/>
              </w:rPr>
            </w:pPr>
            <w:r>
              <w:rPr>
                <w:rFonts w:hint="eastAsia" w:ascii="宋体" w:hAnsi="宋体" w:cs="宋体"/>
                <w:szCs w:val="21"/>
              </w:rPr>
              <w:t>1000～5000万元</w:t>
            </w:r>
          </w:p>
        </w:tc>
        <w:tc>
          <w:tcPr>
            <w:tcW w:w="1923" w:type="dxa"/>
            <w:vAlign w:val="center"/>
          </w:tcPr>
          <w:p w14:paraId="3E122E71">
            <w:pPr>
              <w:spacing w:line="380" w:lineRule="exact"/>
              <w:jc w:val="center"/>
              <w:rPr>
                <w:rFonts w:ascii="宋体" w:hAnsi="宋体" w:cs="宋体"/>
                <w:szCs w:val="21"/>
              </w:rPr>
            </w:pPr>
            <w:r>
              <w:rPr>
                <w:rFonts w:hint="eastAsia" w:ascii="宋体" w:hAnsi="宋体" w:cs="宋体"/>
                <w:kern w:val="0"/>
                <w:szCs w:val="21"/>
              </w:rPr>
              <w:t>0.5%</w:t>
            </w:r>
          </w:p>
        </w:tc>
        <w:tc>
          <w:tcPr>
            <w:tcW w:w="1912" w:type="dxa"/>
            <w:vAlign w:val="center"/>
          </w:tcPr>
          <w:p w14:paraId="369CBEE6">
            <w:pPr>
              <w:spacing w:line="380" w:lineRule="exact"/>
              <w:jc w:val="center"/>
              <w:rPr>
                <w:rFonts w:ascii="宋体" w:hAnsi="宋体" w:cs="宋体"/>
                <w:szCs w:val="21"/>
              </w:rPr>
            </w:pPr>
            <w:r>
              <w:rPr>
                <w:rFonts w:hint="eastAsia" w:ascii="宋体" w:hAnsi="宋体" w:cs="宋体"/>
                <w:kern w:val="0"/>
                <w:szCs w:val="21"/>
              </w:rPr>
              <w:t>0.25%</w:t>
            </w:r>
          </w:p>
        </w:tc>
        <w:tc>
          <w:tcPr>
            <w:tcW w:w="1747" w:type="dxa"/>
            <w:vAlign w:val="center"/>
          </w:tcPr>
          <w:p w14:paraId="7C616048">
            <w:pPr>
              <w:spacing w:line="380" w:lineRule="exact"/>
              <w:jc w:val="center"/>
              <w:rPr>
                <w:rFonts w:ascii="宋体" w:hAnsi="宋体" w:cs="宋体"/>
                <w:szCs w:val="21"/>
              </w:rPr>
            </w:pPr>
            <w:r>
              <w:rPr>
                <w:rFonts w:hint="eastAsia" w:ascii="宋体" w:hAnsi="宋体" w:cs="宋体"/>
                <w:kern w:val="0"/>
                <w:szCs w:val="21"/>
              </w:rPr>
              <w:t>0.35%</w:t>
            </w:r>
          </w:p>
        </w:tc>
      </w:tr>
      <w:tr w14:paraId="56D8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14:paraId="13808DBA">
            <w:pPr>
              <w:spacing w:line="380" w:lineRule="exact"/>
              <w:rPr>
                <w:rFonts w:ascii="宋体" w:hAnsi="宋体" w:cs="宋体"/>
                <w:szCs w:val="21"/>
              </w:rPr>
            </w:pPr>
            <w:r>
              <w:rPr>
                <w:rFonts w:hint="eastAsia" w:ascii="宋体" w:hAnsi="宋体" w:cs="宋体"/>
                <w:szCs w:val="21"/>
              </w:rPr>
              <w:t>5000万元～1亿元</w:t>
            </w:r>
          </w:p>
        </w:tc>
        <w:tc>
          <w:tcPr>
            <w:tcW w:w="1923" w:type="dxa"/>
            <w:vAlign w:val="center"/>
          </w:tcPr>
          <w:p w14:paraId="20CA4CE7">
            <w:pPr>
              <w:spacing w:line="380" w:lineRule="exact"/>
              <w:jc w:val="center"/>
              <w:rPr>
                <w:rFonts w:ascii="宋体" w:hAnsi="宋体" w:cs="宋体"/>
                <w:szCs w:val="21"/>
              </w:rPr>
            </w:pPr>
            <w:r>
              <w:rPr>
                <w:rFonts w:hint="eastAsia" w:ascii="宋体" w:hAnsi="宋体" w:cs="宋体"/>
                <w:kern w:val="0"/>
                <w:szCs w:val="21"/>
              </w:rPr>
              <w:t>0.25%</w:t>
            </w:r>
          </w:p>
        </w:tc>
        <w:tc>
          <w:tcPr>
            <w:tcW w:w="1912" w:type="dxa"/>
            <w:vAlign w:val="center"/>
          </w:tcPr>
          <w:p w14:paraId="1EF14CD0">
            <w:pPr>
              <w:spacing w:line="380" w:lineRule="exact"/>
              <w:jc w:val="center"/>
              <w:rPr>
                <w:rFonts w:ascii="宋体" w:hAnsi="宋体" w:cs="宋体"/>
                <w:szCs w:val="21"/>
              </w:rPr>
            </w:pPr>
            <w:r>
              <w:rPr>
                <w:rFonts w:hint="eastAsia" w:ascii="宋体" w:hAnsi="宋体" w:cs="宋体"/>
                <w:kern w:val="0"/>
                <w:szCs w:val="21"/>
              </w:rPr>
              <w:t>0.1%</w:t>
            </w:r>
          </w:p>
        </w:tc>
        <w:tc>
          <w:tcPr>
            <w:tcW w:w="1747" w:type="dxa"/>
            <w:vAlign w:val="center"/>
          </w:tcPr>
          <w:p w14:paraId="69BD6623">
            <w:pPr>
              <w:spacing w:line="380" w:lineRule="exact"/>
              <w:jc w:val="center"/>
              <w:rPr>
                <w:rFonts w:ascii="宋体" w:hAnsi="宋体" w:cs="宋体"/>
                <w:szCs w:val="21"/>
              </w:rPr>
            </w:pPr>
            <w:r>
              <w:rPr>
                <w:rFonts w:hint="eastAsia" w:ascii="宋体" w:hAnsi="宋体" w:cs="宋体"/>
                <w:kern w:val="0"/>
                <w:szCs w:val="21"/>
              </w:rPr>
              <w:t>0.2%</w:t>
            </w:r>
          </w:p>
        </w:tc>
      </w:tr>
      <w:tr w14:paraId="14B5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14:paraId="70622549">
            <w:pPr>
              <w:spacing w:line="380" w:lineRule="exact"/>
              <w:rPr>
                <w:rFonts w:ascii="宋体" w:hAnsi="宋体" w:cs="宋体"/>
                <w:szCs w:val="21"/>
              </w:rPr>
            </w:pPr>
            <w:r>
              <w:rPr>
                <w:rFonts w:hint="eastAsia" w:ascii="宋体" w:hAnsi="宋体" w:cs="宋体"/>
                <w:szCs w:val="21"/>
              </w:rPr>
              <w:t>1～5亿元</w:t>
            </w:r>
          </w:p>
        </w:tc>
        <w:tc>
          <w:tcPr>
            <w:tcW w:w="1923" w:type="dxa"/>
            <w:vAlign w:val="center"/>
          </w:tcPr>
          <w:p w14:paraId="12DEAC91">
            <w:pPr>
              <w:spacing w:line="380" w:lineRule="exact"/>
              <w:jc w:val="center"/>
              <w:rPr>
                <w:rFonts w:ascii="宋体" w:hAnsi="宋体" w:cs="宋体"/>
                <w:szCs w:val="21"/>
              </w:rPr>
            </w:pPr>
            <w:r>
              <w:rPr>
                <w:rFonts w:hint="eastAsia" w:ascii="宋体" w:hAnsi="宋体" w:cs="宋体"/>
                <w:szCs w:val="21"/>
              </w:rPr>
              <w:t>0.05%</w:t>
            </w:r>
          </w:p>
        </w:tc>
        <w:tc>
          <w:tcPr>
            <w:tcW w:w="1912" w:type="dxa"/>
            <w:vAlign w:val="center"/>
          </w:tcPr>
          <w:p w14:paraId="6655F546">
            <w:pPr>
              <w:spacing w:line="380" w:lineRule="exact"/>
              <w:jc w:val="center"/>
              <w:rPr>
                <w:rFonts w:ascii="宋体" w:hAnsi="宋体" w:cs="宋体"/>
                <w:szCs w:val="21"/>
              </w:rPr>
            </w:pPr>
            <w:r>
              <w:rPr>
                <w:rFonts w:hint="eastAsia" w:ascii="宋体" w:hAnsi="宋体" w:cs="宋体"/>
                <w:szCs w:val="21"/>
              </w:rPr>
              <w:t>0.05%</w:t>
            </w:r>
          </w:p>
        </w:tc>
        <w:tc>
          <w:tcPr>
            <w:tcW w:w="1747" w:type="dxa"/>
            <w:vAlign w:val="center"/>
          </w:tcPr>
          <w:p w14:paraId="111228F2">
            <w:pPr>
              <w:spacing w:line="380" w:lineRule="exact"/>
              <w:jc w:val="center"/>
              <w:rPr>
                <w:rFonts w:ascii="宋体" w:hAnsi="宋体" w:cs="宋体"/>
                <w:szCs w:val="21"/>
              </w:rPr>
            </w:pPr>
            <w:r>
              <w:rPr>
                <w:rFonts w:hint="eastAsia" w:ascii="宋体" w:hAnsi="宋体" w:cs="宋体"/>
                <w:szCs w:val="21"/>
              </w:rPr>
              <w:t>0.05%</w:t>
            </w:r>
          </w:p>
        </w:tc>
      </w:tr>
      <w:tr w14:paraId="0D8A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14:paraId="12DFB9A3">
            <w:pPr>
              <w:spacing w:line="380" w:lineRule="exact"/>
              <w:rPr>
                <w:rFonts w:ascii="宋体" w:hAnsi="宋体" w:cs="宋体"/>
                <w:szCs w:val="21"/>
              </w:rPr>
            </w:pPr>
            <w:r>
              <w:rPr>
                <w:rFonts w:hint="eastAsia" w:ascii="宋体" w:hAnsi="宋体" w:cs="宋体"/>
                <w:szCs w:val="21"/>
              </w:rPr>
              <w:t>5～10亿元</w:t>
            </w:r>
          </w:p>
        </w:tc>
        <w:tc>
          <w:tcPr>
            <w:tcW w:w="1923" w:type="dxa"/>
            <w:vAlign w:val="center"/>
          </w:tcPr>
          <w:p w14:paraId="14F4FC92">
            <w:pPr>
              <w:spacing w:line="380" w:lineRule="exact"/>
              <w:jc w:val="center"/>
              <w:rPr>
                <w:rFonts w:ascii="宋体" w:hAnsi="宋体" w:cs="宋体"/>
                <w:szCs w:val="21"/>
              </w:rPr>
            </w:pPr>
            <w:r>
              <w:rPr>
                <w:rFonts w:hint="eastAsia" w:ascii="宋体" w:hAnsi="宋体" w:cs="宋体"/>
                <w:szCs w:val="21"/>
              </w:rPr>
              <w:t>0.035%</w:t>
            </w:r>
          </w:p>
        </w:tc>
        <w:tc>
          <w:tcPr>
            <w:tcW w:w="1912" w:type="dxa"/>
            <w:vAlign w:val="center"/>
          </w:tcPr>
          <w:p w14:paraId="781887B1">
            <w:pPr>
              <w:spacing w:line="380" w:lineRule="exact"/>
              <w:jc w:val="center"/>
              <w:rPr>
                <w:rFonts w:ascii="宋体" w:hAnsi="宋体" w:cs="宋体"/>
                <w:szCs w:val="21"/>
              </w:rPr>
            </w:pPr>
            <w:r>
              <w:rPr>
                <w:rFonts w:hint="eastAsia" w:ascii="宋体" w:hAnsi="宋体" w:cs="宋体"/>
                <w:szCs w:val="21"/>
              </w:rPr>
              <w:t>0.035%</w:t>
            </w:r>
          </w:p>
        </w:tc>
        <w:tc>
          <w:tcPr>
            <w:tcW w:w="1747" w:type="dxa"/>
            <w:vAlign w:val="center"/>
          </w:tcPr>
          <w:p w14:paraId="2806DC68">
            <w:pPr>
              <w:spacing w:line="380" w:lineRule="exact"/>
              <w:jc w:val="center"/>
              <w:rPr>
                <w:rFonts w:ascii="宋体" w:hAnsi="宋体" w:cs="宋体"/>
                <w:szCs w:val="21"/>
              </w:rPr>
            </w:pPr>
            <w:r>
              <w:rPr>
                <w:rFonts w:hint="eastAsia" w:ascii="宋体" w:hAnsi="宋体" w:cs="宋体"/>
                <w:szCs w:val="21"/>
              </w:rPr>
              <w:t>0.035%</w:t>
            </w:r>
          </w:p>
        </w:tc>
      </w:tr>
      <w:tr w14:paraId="4E79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14:paraId="5CC0FF9B">
            <w:pPr>
              <w:spacing w:line="380" w:lineRule="exact"/>
              <w:rPr>
                <w:rFonts w:ascii="宋体" w:hAnsi="宋体" w:cs="宋体"/>
                <w:szCs w:val="21"/>
              </w:rPr>
            </w:pPr>
            <w:r>
              <w:rPr>
                <w:rFonts w:hint="eastAsia" w:ascii="宋体" w:hAnsi="宋体" w:cs="宋体"/>
                <w:szCs w:val="21"/>
              </w:rPr>
              <w:t>10～50亿元</w:t>
            </w:r>
          </w:p>
        </w:tc>
        <w:tc>
          <w:tcPr>
            <w:tcW w:w="1923" w:type="dxa"/>
            <w:vAlign w:val="center"/>
          </w:tcPr>
          <w:p w14:paraId="76FEFA5D">
            <w:pPr>
              <w:spacing w:line="380" w:lineRule="exact"/>
              <w:jc w:val="center"/>
              <w:rPr>
                <w:rFonts w:ascii="宋体" w:hAnsi="宋体" w:cs="宋体"/>
                <w:szCs w:val="21"/>
              </w:rPr>
            </w:pPr>
            <w:r>
              <w:rPr>
                <w:rFonts w:hint="eastAsia" w:ascii="宋体" w:hAnsi="宋体" w:cs="宋体"/>
                <w:szCs w:val="21"/>
              </w:rPr>
              <w:t>0.008%</w:t>
            </w:r>
          </w:p>
        </w:tc>
        <w:tc>
          <w:tcPr>
            <w:tcW w:w="1912" w:type="dxa"/>
            <w:vAlign w:val="center"/>
          </w:tcPr>
          <w:p w14:paraId="557EA44B">
            <w:pPr>
              <w:spacing w:line="380" w:lineRule="exact"/>
              <w:jc w:val="center"/>
              <w:rPr>
                <w:rFonts w:ascii="宋体" w:hAnsi="宋体" w:cs="宋体"/>
                <w:szCs w:val="21"/>
              </w:rPr>
            </w:pPr>
            <w:r>
              <w:rPr>
                <w:rFonts w:hint="eastAsia" w:ascii="宋体" w:hAnsi="宋体" w:cs="宋体"/>
                <w:szCs w:val="21"/>
              </w:rPr>
              <w:t>0.008%</w:t>
            </w:r>
          </w:p>
        </w:tc>
        <w:tc>
          <w:tcPr>
            <w:tcW w:w="1747" w:type="dxa"/>
            <w:vAlign w:val="center"/>
          </w:tcPr>
          <w:p w14:paraId="070DCCBE">
            <w:pPr>
              <w:spacing w:line="380" w:lineRule="exact"/>
              <w:jc w:val="center"/>
              <w:rPr>
                <w:rFonts w:ascii="宋体" w:hAnsi="宋体" w:cs="宋体"/>
                <w:szCs w:val="21"/>
              </w:rPr>
            </w:pPr>
            <w:r>
              <w:rPr>
                <w:rFonts w:hint="eastAsia" w:ascii="宋体" w:hAnsi="宋体" w:cs="宋体"/>
                <w:szCs w:val="21"/>
              </w:rPr>
              <w:t>0.008%</w:t>
            </w:r>
          </w:p>
        </w:tc>
      </w:tr>
      <w:tr w14:paraId="6618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14:paraId="306391CA">
            <w:pPr>
              <w:spacing w:line="380" w:lineRule="exact"/>
              <w:rPr>
                <w:rFonts w:ascii="宋体" w:hAnsi="宋体" w:cs="宋体"/>
                <w:szCs w:val="21"/>
              </w:rPr>
            </w:pPr>
            <w:r>
              <w:rPr>
                <w:rFonts w:hint="eastAsia" w:ascii="宋体" w:hAnsi="宋体" w:cs="宋体"/>
                <w:szCs w:val="21"/>
              </w:rPr>
              <w:t>50～100亿元</w:t>
            </w:r>
          </w:p>
        </w:tc>
        <w:tc>
          <w:tcPr>
            <w:tcW w:w="1923" w:type="dxa"/>
            <w:vAlign w:val="center"/>
          </w:tcPr>
          <w:p w14:paraId="69808D82">
            <w:pPr>
              <w:spacing w:line="380" w:lineRule="exact"/>
              <w:jc w:val="center"/>
              <w:rPr>
                <w:rFonts w:ascii="宋体" w:hAnsi="宋体" w:cs="宋体"/>
                <w:szCs w:val="21"/>
              </w:rPr>
            </w:pPr>
            <w:r>
              <w:rPr>
                <w:rFonts w:hint="eastAsia" w:ascii="宋体" w:hAnsi="宋体" w:cs="宋体"/>
                <w:szCs w:val="21"/>
              </w:rPr>
              <w:t>0.006%</w:t>
            </w:r>
          </w:p>
        </w:tc>
        <w:tc>
          <w:tcPr>
            <w:tcW w:w="1912" w:type="dxa"/>
            <w:vAlign w:val="center"/>
          </w:tcPr>
          <w:p w14:paraId="4AB7F3EF">
            <w:pPr>
              <w:spacing w:line="380" w:lineRule="exact"/>
              <w:jc w:val="center"/>
              <w:rPr>
                <w:rFonts w:ascii="宋体" w:hAnsi="宋体" w:cs="宋体"/>
                <w:szCs w:val="21"/>
              </w:rPr>
            </w:pPr>
            <w:r>
              <w:rPr>
                <w:rFonts w:hint="eastAsia" w:ascii="宋体" w:hAnsi="宋体" w:cs="宋体"/>
                <w:szCs w:val="21"/>
              </w:rPr>
              <w:t>0.006%</w:t>
            </w:r>
          </w:p>
        </w:tc>
        <w:tc>
          <w:tcPr>
            <w:tcW w:w="1747" w:type="dxa"/>
            <w:vAlign w:val="center"/>
          </w:tcPr>
          <w:p w14:paraId="5F17477D">
            <w:pPr>
              <w:spacing w:line="380" w:lineRule="exact"/>
              <w:jc w:val="center"/>
              <w:rPr>
                <w:rFonts w:ascii="宋体" w:hAnsi="宋体" w:cs="宋体"/>
                <w:szCs w:val="21"/>
              </w:rPr>
            </w:pPr>
            <w:r>
              <w:rPr>
                <w:rFonts w:hint="eastAsia" w:ascii="宋体" w:hAnsi="宋体" w:cs="宋体"/>
                <w:szCs w:val="21"/>
              </w:rPr>
              <w:t>0.006%</w:t>
            </w:r>
          </w:p>
        </w:tc>
      </w:tr>
      <w:tr w14:paraId="6851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14:paraId="33040D77">
            <w:pPr>
              <w:spacing w:line="380" w:lineRule="exact"/>
              <w:rPr>
                <w:rFonts w:ascii="宋体" w:hAnsi="宋体" w:cs="宋体"/>
                <w:szCs w:val="21"/>
              </w:rPr>
            </w:pPr>
            <w:r>
              <w:rPr>
                <w:rFonts w:hint="eastAsia" w:ascii="宋体" w:hAnsi="宋体" w:cs="宋体"/>
                <w:szCs w:val="21"/>
              </w:rPr>
              <w:t>100亿以上</w:t>
            </w:r>
          </w:p>
        </w:tc>
        <w:tc>
          <w:tcPr>
            <w:tcW w:w="1923" w:type="dxa"/>
            <w:vAlign w:val="center"/>
          </w:tcPr>
          <w:p w14:paraId="2F55D956">
            <w:pPr>
              <w:spacing w:line="380" w:lineRule="exact"/>
              <w:jc w:val="center"/>
              <w:rPr>
                <w:rFonts w:ascii="宋体" w:hAnsi="宋体" w:cs="宋体"/>
                <w:szCs w:val="21"/>
              </w:rPr>
            </w:pPr>
            <w:r>
              <w:rPr>
                <w:rFonts w:hint="eastAsia" w:ascii="宋体" w:hAnsi="宋体" w:cs="宋体"/>
                <w:szCs w:val="21"/>
              </w:rPr>
              <w:t>0.004%</w:t>
            </w:r>
          </w:p>
        </w:tc>
        <w:tc>
          <w:tcPr>
            <w:tcW w:w="1912" w:type="dxa"/>
            <w:vAlign w:val="center"/>
          </w:tcPr>
          <w:p w14:paraId="16383331">
            <w:pPr>
              <w:spacing w:line="380" w:lineRule="exact"/>
              <w:jc w:val="center"/>
              <w:rPr>
                <w:rFonts w:ascii="宋体" w:hAnsi="宋体" w:cs="宋体"/>
                <w:szCs w:val="21"/>
              </w:rPr>
            </w:pPr>
            <w:r>
              <w:rPr>
                <w:rFonts w:hint="eastAsia" w:ascii="宋体" w:hAnsi="宋体" w:cs="宋体"/>
                <w:szCs w:val="21"/>
              </w:rPr>
              <w:t>0.004%</w:t>
            </w:r>
          </w:p>
        </w:tc>
        <w:tc>
          <w:tcPr>
            <w:tcW w:w="1747" w:type="dxa"/>
            <w:vAlign w:val="center"/>
          </w:tcPr>
          <w:p w14:paraId="3580AF91">
            <w:pPr>
              <w:spacing w:line="380" w:lineRule="exact"/>
              <w:jc w:val="center"/>
              <w:rPr>
                <w:rFonts w:ascii="宋体" w:hAnsi="宋体" w:cs="宋体"/>
                <w:szCs w:val="21"/>
              </w:rPr>
            </w:pPr>
            <w:r>
              <w:rPr>
                <w:rFonts w:hint="eastAsia" w:ascii="宋体" w:hAnsi="宋体" w:cs="宋体"/>
                <w:szCs w:val="21"/>
              </w:rPr>
              <w:t>0.004%</w:t>
            </w:r>
          </w:p>
        </w:tc>
      </w:tr>
    </w:tbl>
    <w:p w14:paraId="3F62A0EB">
      <w:pPr>
        <w:pStyle w:val="16"/>
        <w:rPr>
          <w:rFonts w:ascii="宋体" w:hAnsi="宋体" w:cs="宋体"/>
        </w:rPr>
      </w:pPr>
    </w:p>
    <w:p w14:paraId="3C5AB6E7">
      <w:pPr>
        <w:pStyle w:val="21"/>
        <w:snapToGrid w:val="0"/>
        <w:spacing w:before="120" w:after="120" w:line="400" w:lineRule="exact"/>
        <w:ind w:firstLine="422" w:firstLineChars="201"/>
        <w:rPr>
          <w:rFonts w:hAnsi="宋体" w:cs="宋体"/>
          <w:sz w:val="21"/>
        </w:rPr>
      </w:pPr>
      <w:r>
        <w:rPr>
          <w:rFonts w:hint="eastAsia" w:hAnsi="宋体" w:cs="宋体"/>
          <w:sz w:val="21"/>
        </w:rPr>
        <w:t>注:招标代理服务收费按差额定率累进法计算。</w:t>
      </w:r>
    </w:p>
    <w:p w14:paraId="74E7B958">
      <w:pPr>
        <w:pStyle w:val="21"/>
        <w:snapToGrid w:val="0"/>
        <w:spacing w:before="120" w:after="120" w:line="400" w:lineRule="exact"/>
        <w:ind w:firstLine="422" w:firstLineChars="201"/>
        <w:rPr>
          <w:rFonts w:hAnsi="宋体" w:cs="宋体"/>
          <w:sz w:val="21"/>
        </w:rPr>
      </w:pPr>
    </w:p>
    <w:p w14:paraId="07930903">
      <w:pPr>
        <w:tabs>
          <w:tab w:val="left" w:pos="2835"/>
        </w:tabs>
        <w:spacing w:line="400" w:lineRule="exact"/>
        <w:ind w:firstLine="422" w:firstLineChars="201"/>
        <w:rPr>
          <w:rFonts w:ascii="宋体" w:hAnsi="宋体" w:cs="宋体"/>
          <w:bCs/>
          <w:szCs w:val="21"/>
        </w:rPr>
      </w:pPr>
      <w:r>
        <w:rPr>
          <w:rFonts w:hint="eastAsia" w:ascii="宋体" w:hAnsi="宋体" w:cs="宋体"/>
          <w:szCs w:val="21"/>
        </w:rPr>
        <w:t>36. 询问、质疑</w:t>
      </w:r>
    </w:p>
    <w:p w14:paraId="5E445153">
      <w:pPr>
        <w:tabs>
          <w:tab w:val="left" w:pos="2835"/>
        </w:tabs>
        <w:spacing w:line="400" w:lineRule="exact"/>
        <w:ind w:firstLine="422" w:firstLineChars="201"/>
        <w:rPr>
          <w:rFonts w:ascii="宋体" w:hAnsi="宋体" w:cs="宋体"/>
          <w:szCs w:val="21"/>
        </w:rPr>
      </w:pPr>
      <w:r>
        <w:rPr>
          <w:rFonts w:hint="eastAsia" w:ascii="宋体" w:hAnsi="宋体" w:cs="宋体"/>
          <w:szCs w:val="21"/>
        </w:rPr>
        <w:t>37.1供应商对采购活动事项有疑问的，可以向采购人、采购代理机构提出询问。</w:t>
      </w:r>
    </w:p>
    <w:p w14:paraId="2F283B82">
      <w:pPr>
        <w:tabs>
          <w:tab w:val="left" w:pos="2835"/>
        </w:tabs>
        <w:spacing w:line="400" w:lineRule="exact"/>
        <w:ind w:firstLine="422" w:firstLineChars="201"/>
        <w:rPr>
          <w:rFonts w:ascii="宋体" w:hAnsi="宋体" w:cs="宋体"/>
          <w:szCs w:val="21"/>
        </w:rPr>
      </w:pPr>
      <w:r>
        <w:rPr>
          <w:rFonts w:hint="eastAsia" w:ascii="宋体" w:hAnsi="宋体" w:cs="宋体"/>
          <w:szCs w:val="21"/>
        </w:rPr>
        <w:t>37.2供应商认为采购文件、采购过程或成交结果使自己的合法权益受到损害的，应当在知道或者应知其权益受到损害之日起七个工作日内，以书面形式向采购人、采购代理机构提出质疑。</w:t>
      </w:r>
    </w:p>
    <w:p w14:paraId="2614308C">
      <w:pPr>
        <w:tabs>
          <w:tab w:val="left" w:pos="2835"/>
        </w:tabs>
        <w:spacing w:line="400" w:lineRule="exact"/>
        <w:ind w:firstLine="422" w:firstLineChars="201"/>
        <w:rPr>
          <w:rFonts w:ascii="宋体" w:hAnsi="宋体" w:cs="宋体"/>
          <w:szCs w:val="21"/>
        </w:rPr>
      </w:pPr>
      <w:r>
        <w:rPr>
          <w:rFonts w:hint="eastAsia" w:ascii="宋体" w:hAnsi="宋体" w:cs="宋体"/>
          <w:szCs w:val="21"/>
        </w:rPr>
        <w:t>37.3质疑应当采用书面形式，质疑书均应明确阐述采购文件、采购过程、成交结果中使自己合法权益受到损害的实质性内容，提供相关事实、明确的请求、必要的证明材料，便于有关单位调查、答复和处理。</w:t>
      </w:r>
    </w:p>
    <w:p w14:paraId="3C83CDD2">
      <w:pPr>
        <w:tabs>
          <w:tab w:val="left" w:pos="2835"/>
        </w:tabs>
        <w:spacing w:line="400" w:lineRule="exact"/>
        <w:ind w:firstLine="422" w:firstLineChars="201"/>
        <w:rPr>
          <w:rFonts w:ascii="宋体" w:hAnsi="宋体" w:cs="宋体"/>
          <w:szCs w:val="21"/>
        </w:rPr>
      </w:pPr>
    </w:p>
    <w:p w14:paraId="74AF9C54">
      <w:pPr>
        <w:numPr>
          <w:ilvl w:val="0"/>
          <w:numId w:val="3"/>
        </w:numPr>
      </w:pPr>
      <w:r>
        <w:rPr>
          <w:rFonts w:hint="eastAsia"/>
        </w:rPr>
        <w:br w:type="page"/>
      </w:r>
      <w:bookmarkEnd w:id="80"/>
      <w:bookmarkEnd w:id="81"/>
      <w:bookmarkEnd w:id="82"/>
    </w:p>
    <w:p w14:paraId="48711EBF">
      <w:pPr>
        <w:pStyle w:val="2"/>
      </w:pPr>
      <w:bookmarkStart w:id="83" w:name="_Toc14523"/>
      <w:r>
        <w:rPr>
          <w:rFonts w:hint="eastAsia"/>
        </w:rPr>
        <w:t>第三章 采购需求</w:t>
      </w:r>
      <w:bookmarkEnd w:id="83"/>
    </w:p>
    <w:p w14:paraId="040BDFFD">
      <w:pPr>
        <w:spacing w:line="420" w:lineRule="exact"/>
        <w:jc w:val="left"/>
        <w:rPr>
          <w:rFonts w:ascii="宋体" w:hAnsi="宋体" w:cs="宋体"/>
          <w:szCs w:val="21"/>
        </w:rPr>
      </w:pPr>
      <w:r>
        <w:rPr>
          <w:rFonts w:hint="eastAsia" w:ascii="宋体" w:hAnsi="宋体" w:cs="宋体"/>
          <w:szCs w:val="21"/>
        </w:rPr>
        <w:t>说明：</w:t>
      </w:r>
    </w:p>
    <w:p w14:paraId="7DF97B3A">
      <w:pPr>
        <w:spacing w:line="420" w:lineRule="exact"/>
        <w:ind w:firstLine="424" w:firstLineChars="202"/>
        <w:jc w:val="left"/>
      </w:pPr>
      <w:r>
        <w:rPr>
          <w:rFonts w:hint="eastAsia"/>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14:paraId="1F9256CC">
      <w:pPr>
        <w:spacing w:line="420" w:lineRule="exact"/>
        <w:ind w:firstLine="424" w:firstLineChars="202"/>
        <w:jc w:val="left"/>
      </w:pPr>
      <w:r>
        <w:rPr>
          <w:rFonts w:hint="eastAsia"/>
        </w:rPr>
        <w:t>2、凡在“技术要求”中表述为“标配”或“标准配置”的设备，供应商应在投标设备性能配置清单中将其标配参数详细列明。</w:t>
      </w:r>
    </w:p>
    <w:p w14:paraId="5370EA1B">
      <w:pPr>
        <w:spacing w:line="420" w:lineRule="exact"/>
        <w:ind w:firstLine="424" w:firstLineChars="202"/>
        <w:jc w:val="left"/>
      </w:pPr>
      <w:r>
        <w:rPr>
          <w:rFonts w:hint="eastAsia"/>
        </w:rPr>
        <w:t>3、根据《财政部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供应商的投标货物必须使用政府强制采购的节能产品，否则投标文件作无效处理。本项目包含的配套货物属于品目清单内非标注“★”的产品时，应优先采购。</w:t>
      </w:r>
    </w:p>
    <w:p w14:paraId="3209CC9E">
      <w:pPr>
        <w:spacing w:line="420" w:lineRule="exact"/>
        <w:ind w:firstLine="424" w:firstLineChars="202"/>
        <w:jc w:val="left"/>
      </w:pPr>
      <w:r>
        <w:rPr>
          <w:rFonts w:hint="eastAsia"/>
        </w:rPr>
        <w:t>4、如供应商投标产品存在侵犯他人的知识产权或者专利成果行为的，由供应商自行承担相应法律责任。</w:t>
      </w:r>
    </w:p>
    <w:p w14:paraId="33F546A7">
      <w:pPr>
        <w:spacing w:line="420" w:lineRule="exact"/>
        <w:ind w:firstLine="426" w:firstLineChars="202"/>
        <w:jc w:val="left"/>
        <w:rPr>
          <w:b/>
          <w:bCs/>
        </w:rPr>
      </w:pPr>
      <w:r>
        <w:rPr>
          <w:rFonts w:hint="eastAsia"/>
          <w:b/>
          <w:bCs/>
        </w:rPr>
        <w:t>5、技术需求中标记“▲”的条款为实质性参数，不满足将作投标文件无效处理。</w:t>
      </w:r>
    </w:p>
    <w:p w14:paraId="6D215E08">
      <w:pPr>
        <w:spacing w:line="420" w:lineRule="exact"/>
        <w:ind w:firstLine="426" w:firstLineChars="202"/>
        <w:jc w:val="left"/>
        <w:rPr>
          <w:b/>
          <w:bCs/>
        </w:rPr>
      </w:pPr>
      <w:r>
        <w:rPr>
          <w:rFonts w:hint="eastAsia"/>
          <w:b/>
          <w:bCs/>
        </w:rPr>
        <w:t>6、供应商应根据自身实际情况如实响应招标文件，不得仅将招标文件内容简单复制粘贴作为投标响应，否则投标文件作无效处理（定制采购不适用本条款）。</w:t>
      </w:r>
    </w:p>
    <w:p w14:paraId="57F3B032">
      <w:pPr>
        <w:spacing w:line="420" w:lineRule="exact"/>
        <w:ind w:firstLine="426" w:firstLineChars="202"/>
        <w:jc w:val="left"/>
        <w:rPr>
          <w:b/>
          <w:bCs/>
        </w:rPr>
      </w:pPr>
      <w:r>
        <w:rPr>
          <w:rFonts w:hint="eastAsia"/>
          <w:b/>
          <w:bCs/>
        </w:rPr>
        <w:t>7、项目所属行业：其他未列明行业</w:t>
      </w:r>
    </w:p>
    <w:tbl>
      <w:tblPr>
        <w:tblStyle w:val="33"/>
        <w:tblW w:w="5151" w:type="pct"/>
        <w:tblInd w:w="-222" w:type="dxa"/>
        <w:tblLayout w:type="fixed"/>
        <w:tblCellMar>
          <w:top w:w="0" w:type="dxa"/>
          <w:left w:w="0" w:type="dxa"/>
          <w:bottom w:w="0" w:type="dxa"/>
          <w:right w:w="0" w:type="dxa"/>
        </w:tblCellMar>
      </w:tblPr>
      <w:tblGrid>
        <w:gridCol w:w="513"/>
        <w:gridCol w:w="191"/>
        <w:gridCol w:w="547"/>
        <w:gridCol w:w="737"/>
        <w:gridCol w:w="5965"/>
        <w:gridCol w:w="789"/>
        <w:gridCol w:w="654"/>
        <w:gridCol w:w="543"/>
      </w:tblGrid>
      <w:tr w14:paraId="7730647B">
        <w:tblPrEx>
          <w:tblCellMar>
            <w:top w:w="0" w:type="dxa"/>
            <w:left w:w="0" w:type="dxa"/>
            <w:bottom w:w="0" w:type="dxa"/>
            <w:right w:w="0" w:type="dxa"/>
          </w:tblCellMar>
        </w:tblPrEx>
        <w:trPr>
          <w:trHeight w:val="567" w:hRule="atLeast"/>
        </w:trPr>
        <w:tc>
          <w:tcPr>
            <w:tcW w:w="5000" w:type="pct"/>
            <w:gridSpan w:val="8"/>
            <w:tcBorders>
              <w:top w:val="single" w:color="auto" w:sz="4" w:space="0"/>
              <w:left w:val="single" w:color="auto" w:sz="4" w:space="0"/>
              <w:bottom w:val="single" w:color="auto" w:sz="4" w:space="0"/>
              <w:right w:val="single" w:color="auto" w:sz="4" w:space="0"/>
            </w:tcBorders>
          </w:tcPr>
          <w:p w14:paraId="2D5DAC56">
            <w:pPr>
              <w:rPr>
                <w:color w:val="auto"/>
              </w:rPr>
            </w:pPr>
            <w:r>
              <w:rPr>
                <w:color w:val="auto"/>
              </w:rPr>
              <w:t>一</w:t>
            </w:r>
            <w:r>
              <w:rPr>
                <w:rFonts w:hint="eastAsia"/>
                <w:color w:val="auto"/>
              </w:rPr>
              <w:t>、项目要求及技术需求</w:t>
            </w:r>
          </w:p>
        </w:tc>
      </w:tr>
      <w:tr w14:paraId="0F439D8D">
        <w:tblPrEx>
          <w:tblCellMar>
            <w:top w:w="0" w:type="dxa"/>
            <w:left w:w="0" w:type="dxa"/>
            <w:bottom w:w="0" w:type="dxa"/>
            <w:right w:w="0" w:type="dxa"/>
          </w:tblCellMar>
        </w:tblPrEx>
        <w:trPr>
          <w:trHeight w:val="567" w:hRule="atLeast"/>
        </w:trPr>
        <w:tc>
          <w:tcPr>
            <w:tcW w:w="258"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879E652">
            <w:pPr>
              <w:rPr>
                <w:color w:val="auto"/>
              </w:rPr>
            </w:pPr>
            <w:r>
              <w:rPr>
                <w:rFonts w:hint="eastAsia"/>
                <w:color w:val="auto"/>
              </w:rPr>
              <w:t>序号</w:t>
            </w:r>
          </w:p>
        </w:tc>
        <w:tc>
          <w:tcPr>
            <w:tcW w:w="371" w:type="pct"/>
            <w:gridSpan w:val="2"/>
            <w:tcBorders>
              <w:top w:val="single" w:color="auto" w:sz="4" w:space="0"/>
              <w:left w:val="nil"/>
              <w:bottom w:val="single" w:color="auto" w:sz="6" w:space="0"/>
              <w:right w:val="single" w:color="auto" w:sz="6" w:space="0"/>
            </w:tcBorders>
          </w:tcPr>
          <w:p w14:paraId="3AC2D33A">
            <w:pPr>
              <w:rPr>
                <w:color w:val="auto"/>
              </w:rPr>
            </w:pPr>
          </w:p>
        </w:tc>
        <w:tc>
          <w:tcPr>
            <w:tcW w:w="371" w:type="pct"/>
            <w:tcBorders>
              <w:top w:val="single" w:color="auto" w:sz="4" w:space="0"/>
              <w:left w:val="single" w:color="auto" w:sz="6" w:space="0"/>
              <w:bottom w:val="single" w:color="auto" w:sz="6" w:space="0"/>
              <w:right w:val="single" w:color="auto" w:sz="4" w:space="0"/>
            </w:tcBorders>
            <w:tcMar>
              <w:top w:w="13" w:type="dxa"/>
              <w:left w:w="57" w:type="dxa"/>
              <w:bottom w:w="0" w:type="dxa"/>
              <w:right w:w="57" w:type="dxa"/>
            </w:tcMar>
            <w:vAlign w:val="center"/>
          </w:tcPr>
          <w:p w14:paraId="205278E2">
            <w:pPr>
              <w:rPr>
                <w:rFonts w:cs="黑体"/>
                <w:color w:val="auto"/>
              </w:rPr>
            </w:pPr>
            <w:r>
              <w:rPr>
                <w:rFonts w:hint="eastAsia"/>
                <w:color w:val="auto"/>
              </w:rPr>
              <w:t>物品名称</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D962536">
            <w:pPr>
              <w:rPr>
                <w:color w:val="auto"/>
              </w:rPr>
            </w:pPr>
            <w:r>
              <w:rPr>
                <w:rFonts w:hint="eastAsia"/>
                <w:color w:val="auto"/>
              </w:rPr>
              <w:t>技术需求及要求</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AB376CC">
            <w:pPr>
              <w:rPr>
                <w:color w:val="auto"/>
              </w:rPr>
            </w:pPr>
            <w:r>
              <w:rPr>
                <w:rFonts w:hint="eastAsia"/>
                <w:color w:val="auto"/>
              </w:rPr>
              <w:t>计量</w:t>
            </w:r>
          </w:p>
          <w:p w14:paraId="03F3A961">
            <w:pPr>
              <w:rPr>
                <w:color w:val="auto"/>
              </w:rPr>
            </w:pPr>
            <w:r>
              <w:rPr>
                <w:rFonts w:hint="eastAsia"/>
                <w:color w:val="auto"/>
              </w:rPr>
              <w:t>单位</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EDC0CE6">
            <w:pPr>
              <w:rPr>
                <w:color w:val="auto"/>
              </w:rPr>
            </w:pPr>
            <w:r>
              <w:rPr>
                <w:rFonts w:hint="eastAsia"/>
                <w:color w:val="auto"/>
              </w:rPr>
              <w:t>数量</w:t>
            </w:r>
          </w:p>
        </w:tc>
        <w:tc>
          <w:tcPr>
            <w:tcW w:w="273" w:type="pct"/>
            <w:tcBorders>
              <w:top w:val="single" w:color="auto" w:sz="4" w:space="0"/>
              <w:left w:val="nil"/>
              <w:bottom w:val="single" w:color="auto" w:sz="4" w:space="0"/>
              <w:right w:val="single" w:color="auto" w:sz="4" w:space="0"/>
            </w:tcBorders>
            <w:vAlign w:val="center"/>
          </w:tcPr>
          <w:p w14:paraId="223D58DC">
            <w:pPr>
              <w:rPr>
                <w:rFonts w:asciiTheme="minorEastAsia" w:hAnsiTheme="minorEastAsia" w:eastAsiaTheme="minorEastAsia"/>
                <w:color w:val="auto"/>
              </w:rPr>
            </w:pPr>
            <w:r>
              <w:rPr>
                <w:rFonts w:hint="eastAsia"/>
                <w:color w:val="auto"/>
              </w:rPr>
              <w:t>单价最高控价</w:t>
            </w:r>
          </w:p>
        </w:tc>
      </w:tr>
      <w:tr w14:paraId="2256A105">
        <w:tblPrEx>
          <w:tblCellMar>
            <w:top w:w="0" w:type="dxa"/>
            <w:left w:w="0" w:type="dxa"/>
            <w:bottom w:w="0" w:type="dxa"/>
            <w:right w:w="0" w:type="dxa"/>
          </w:tblCellMar>
        </w:tblPrEx>
        <w:trPr>
          <w:trHeight w:val="567" w:hRule="atLeast"/>
        </w:trPr>
        <w:tc>
          <w:tcPr>
            <w:tcW w:w="258" w:type="pct"/>
            <w:vMerge w:val="restart"/>
            <w:tcBorders>
              <w:top w:val="single" w:color="auto" w:sz="4" w:space="0"/>
              <w:left w:val="single" w:color="auto" w:sz="4" w:space="0"/>
              <w:right w:val="single" w:color="auto" w:sz="4" w:space="0"/>
            </w:tcBorders>
            <w:tcMar>
              <w:top w:w="13" w:type="dxa"/>
              <w:left w:w="57" w:type="dxa"/>
              <w:bottom w:w="0" w:type="dxa"/>
              <w:right w:w="57" w:type="dxa"/>
            </w:tcMar>
            <w:vAlign w:val="center"/>
          </w:tcPr>
          <w:p w14:paraId="604956D8">
            <w:pPr>
              <w:rPr>
                <w:color w:val="auto"/>
              </w:rPr>
            </w:pPr>
          </w:p>
          <w:p w14:paraId="50879137">
            <w:pPr>
              <w:rPr>
                <w:color w:val="auto"/>
              </w:rPr>
            </w:pPr>
          </w:p>
          <w:p w14:paraId="5DAE4EC9">
            <w:pPr>
              <w:rPr>
                <w:color w:val="auto"/>
              </w:rPr>
            </w:pPr>
          </w:p>
          <w:p w14:paraId="418D143A">
            <w:pPr>
              <w:rPr>
                <w:color w:val="auto"/>
              </w:rPr>
            </w:pPr>
          </w:p>
          <w:p w14:paraId="6C3A729A">
            <w:pPr>
              <w:rPr>
                <w:color w:val="auto"/>
              </w:rPr>
            </w:pPr>
          </w:p>
          <w:p w14:paraId="7456A567">
            <w:pPr>
              <w:rPr>
                <w:color w:val="auto"/>
              </w:rPr>
            </w:pPr>
          </w:p>
          <w:p w14:paraId="2309E67C">
            <w:pPr>
              <w:rPr>
                <w:color w:val="auto"/>
              </w:rPr>
            </w:pPr>
          </w:p>
          <w:p w14:paraId="23092E6F">
            <w:pPr>
              <w:rPr>
                <w:color w:val="auto"/>
              </w:rPr>
            </w:pPr>
          </w:p>
          <w:p w14:paraId="710F9A9C">
            <w:pPr>
              <w:rPr>
                <w:color w:val="auto"/>
              </w:rPr>
            </w:pPr>
            <w:r>
              <w:rPr>
                <w:rFonts w:hint="eastAsia"/>
                <w:color w:val="auto"/>
              </w:rPr>
              <w:t>1</w:t>
            </w:r>
          </w:p>
        </w:tc>
        <w:tc>
          <w:tcPr>
            <w:tcW w:w="371" w:type="pct"/>
            <w:gridSpan w:val="2"/>
            <w:vMerge w:val="restart"/>
            <w:tcBorders>
              <w:top w:val="single" w:color="auto" w:sz="6" w:space="0"/>
              <w:left w:val="nil"/>
              <w:right w:val="single" w:color="auto" w:sz="6" w:space="0"/>
            </w:tcBorders>
          </w:tcPr>
          <w:p w14:paraId="4C22E8C0">
            <w:pPr>
              <w:spacing w:line="400" w:lineRule="exact"/>
              <w:rPr>
                <w:rFonts w:ascii="宋体" w:hAnsi="宋体" w:cs="宋体"/>
                <w:color w:val="auto"/>
                <w:szCs w:val="21"/>
              </w:rPr>
            </w:pPr>
          </w:p>
          <w:p w14:paraId="26E77C9C">
            <w:pPr>
              <w:spacing w:line="400" w:lineRule="exact"/>
              <w:rPr>
                <w:rFonts w:ascii="宋体" w:hAnsi="宋体" w:cs="宋体"/>
                <w:color w:val="auto"/>
                <w:szCs w:val="21"/>
              </w:rPr>
            </w:pPr>
          </w:p>
          <w:p w14:paraId="5668AA75">
            <w:pPr>
              <w:spacing w:line="400" w:lineRule="exact"/>
              <w:rPr>
                <w:rFonts w:ascii="宋体" w:hAnsi="宋体" w:cs="宋体"/>
                <w:color w:val="auto"/>
                <w:szCs w:val="21"/>
              </w:rPr>
            </w:pPr>
          </w:p>
          <w:p w14:paraId="524F400F">
            <w:pPr>
              <w:spacing w:line="400" w:lineRule="exact"/>
              <w:rPr>
                <w:rFonts w:ascii="宋体" w:hAnsi="宋体" w:cs="宋体"/>
                <w:color w:val="auto"/>
                <w:szCs w:val="21"/>
              </w:rPr>
            </w:pPr>
          </w:p>
          <w:p w14:paraId="43D7427E">
            <w:pPr>
              <w:spacing w:line="400" w:lineRule="exact"/>
              <w:rPr>
                <w:rFonts w:ascii="宋体" w:hAnsi="宋体" w:cs="宋体"/>
                <w:color w:val="auto"/>
                <w:szCs w:val="21"/>
              </w:rPr>
            </w:pPr>
          </w:p>
          <w:p w14:paraId="62A7366D">
            <w:pPr>
              <w:spacing w:line="400" w:lineRule="exact"/>
              <w:rPr>
                <w:rFonts w:ascii="宋体" w:hAnsi="宋体" w:cs="宋体"/>
                <w:color w:val="auto"/>
                <w:szCs w:val="21"/>
              </w:rPr>
            </w:pPr>
          </w:p>
          <w:p w14:paraId="63B26525">
            <w:pPr>
              <w:spacing w:line="400" w:lineRule="exact"/>
              <w:rPr>
                <w:rFonts w:ascii="宋体" w:hAnsi="宋体" w:cs="宋体"/>
                <w:color w:val="auto"/>
                <w:szCs w:val="21"/>
              </w:rPr>
            </w:pPr>
          </w:p>
          <w:p w14:paraId="784FE6B2">
            <w:pPr>
              <w:spacing w:line="400" w:lineRule="exact"/>
              <w:rPr>
                <w:rFonts w:ascii="宋体" w:hAnsi="宋体" w:cs="宋体"/>
                <w:color w:val="auto"/>
                <w:szCs w:val="21"/>
              </w:rPr>
            </w:pPr>
          </w:p>
          <w:p w14:paraId="488A98C7">
            <w:pPr>
              <w:spacing w:line="400" w:lineRule="exact"/>
              <w:rPr>
                <w:rFonts w:ascii="宋体" w:hAnsi="宋体" w:cs="宋体"/>
                <w:color w:val="auto"/>
                <w:szCs w:val="21"/>
              </w:rPr>
            </w:pPr>
            <w:r>
              <w:rPr>
                <w:rFonts w:hint="eastAsia" w:ascii="宋体" w:hAnsi="宋体" w:cs="宋体"/>
                <w:color w:val="auto"/>
                <w:szCs w:val="21"/>
              </w:rPr>
              <w:t>网络营销与直播文化博物馆资源开发建设</w:t>
            </w: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5826F85A">
            <w:pPr>
              <w:spacing w:line="400" w:lineRule="exact"/>
              <w:rPr>
                <w:rFonts w:ascii="宋体" w:hAnsi="宋体" w:cs="宋体"/>
                <w:color w:val="auto"/>
                <w:szCs w:val="21"/>
              </w:rPr>
            </w:pPr>
            <w:r>
              <w:rPr>
                <w:rFonts w:hint="eastAsia" w:ascii="宋体" w:hAnsi="宋体" w:cs="宋体"/>
                <w:color w:val="auto"/>
                <w:szCs w:val="21"/>
              </w:rPr>
              <w:t>网络营销与直播文化博物馆-微课视频</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F60CCC5">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依据资源库总体建设需求，网络营销与直播文化博物馆资源定制涵盖网络营销与直播电商文化起源、 20 世纪 90 年代互联网兴起初期的商业探索、在线广告、电子邮件营销等，以及网络营销概念的形成和早期成功案例与经验及阶段发展涵盖社交媒体营销崛起的应用创新与经典案例、搜索引擎优化与营销的算法影响及企业策略、内容营销的重要性与成功形式、直播电商的兴起历程及平台特点与合作案例；</w:t>
            </w:r>
          </w:p>
          <w:p w14:paraId="1BDFF63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未来发展展望：探讨新技术如人工智能等的应用前景与全新购物体验，分析个性化精准营销、社交与直播电商融合、跨境网络营销与直播电商的趋势、机遇和挑战。</w:t>
            </w:r>
          </w:p>
          <w:p w14:paraId="1F2CE7C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32E7093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1、每个视频时长在3-5分钟。</w:t>
            </w:r>
          </w:p>
          <w:p w14:paraId="54CB64EB">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2、视频素材编辑，后期视频非线性编辑，统一片头片尾设计制作。</w:t>
            </w:r>
          </w:p>
          <w:p w14:paraId="65E236C5">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3、视频压缩格式，包含字幕的 MP4 格式，视频码流率：1024Kbps - 2500Kbps；视频分辨率：各节视频的视频分辨率必须统一，统一采用高清 16:9 拍摄，设定为 1920×1080 视频画幅宽高比。</w:t>
            </w:r>
          </w:p>
          <w:p w14:paraId="5CA9AC2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4、拍摄设备要求</w:t>
            </w:r>
          </w:p>
          <w:p w14:paraId="2A2C87AA">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1）拍摄设备:现场摄像机要求使用专业级数字高清设备、品牌及型号一致，且为一线品牌。</w:t>
            </w:r>
          </w:p>
          <w:p w14:paraId="6F1DAE0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2）音频设备：现场录制要求使用专业级音频设备，保证教师和学生发言的录音质量。</w:t>
            </w:r>
          </w:p>
          <w:p w14:paraId="0807B845">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3）灯光设备：专业影视摄影镝灯，LED面光灯等。</w:t>
            </w:r>
          </w:p>
          <w:p w14:paraId="34BB645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4）辅助记忆设备：提供提词器。</w:t>
            </w:r>
          </w:p>
          <w:p w14:paraId="7B2D26E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5）存储设备：设备及有效容量应能保证正常完成拍摄任务。</w:t>
            </w:r>
          </w:p>
          <w:p w14:paraId="3CF7B2E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6）后期制作设备：专业的非线性编辑系统。</w:t>
            </w:r>
          </w:p>
          <w:p w14:paraId="26F32E9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5、视频信号源技术指标要求</w:t>
            </w:r>
          </w:p>
          <w:p w14:paraId="47B5D35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1）稳定性：全片图像同步性能稳定，无失步现象，CTL同步控制信号必须连续；图像无抖动跳跃，色彩无突变，编辑点处图像稳定。</w:t>
            </w:r>
          </w:p>
          <w:p w14:paraId="52A8D32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2）信噪比：图像信噪比不低于55dB，无明显杂波。</w:t>
            </w:r>
          </w:p>
          <w:p w14:paraId="6FCA2FF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3）色调：白平衡正确，无明显偏色，多机拍摄的镜头衔接处无明显色差。</w:t>
            </w:r>
          </w:p>
          <w:p w14:paraId="61B494C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4）视频电平：视频全讯号幅度为1Ⅴp-p，最大不超过1.1Ⅴ p-p。其中，消隐电平为0V时，白电平幅度0.7Ⅴp-p，同步信号-0.3V，色同步信号幅度0.3V p-p (以消隐线上下对称)，全片一致。</w:t>
            </w:r>
          </w:p>
          <w:p w14:paraId="271B780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6、版权说明</w:t>
            </w:r>
          </w:p>
          <w:p w14:paraId="75A444C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1）所有素材及资源制作的版权归属学校所有。</w:t>
            </w:r>
          </w:p>
          <w:p w14:paraId="4AF2AA2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2）注意成片中所有使用的图片、音视频等素材的版权问题，规避版权风险。</w:t>
            </w:r>
          </w:p>
          <w:p w14:paraId="57E2071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▲7、数字化资源内容为定制化开发内容。</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ADB4FFA">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4AB80DC">
            <w:pPr>
              <w:spacing w:line="400" w:lineRule="exact"/>
              <w:jc w:val="center"/>
              <w:rPr>
                <w:rFonts w:ascii="宋体" w:hAnsi="宋体" w:cs="宋体"/>
                <w:color w:val="auto"/>
                <w:szCs w:val="21"/>
              </w:rPr>
            </w:pPr>
            <w:r>
              <w:rPr>
                <w:rFonts w:hint="eastAsia" w:ascii="宋体" w:hAnsi="宋体" w:cs="宋体"/>
                <w:color w:val="auto"/>
                <w:szCs w:val="21"/>
              </w:rPr>
              <w:t>20</w:t>
            </w:r>
          </w:p>
        </w:tc>
        <w:tc>
          <w:tcPr>
            <w:tcW w:w="273" w:type="pct"/>
            <w:tcBorders>
              <w:top w:val="single" w:color="auto" w:sz="4" w:space="0"/>
              <w:left w:val="nil"/>
              <w:bottom w:val="single" w:color="auto" w:sz="4" w:space="0"/>
              <w:right w:val="single" w:color="auto" w:sz="4" w:space="0"/>
            </w:tcBorders>
            <w:vAlign w:val="center"/>
          </w:tcPr>
          <w:p w14:paraId="0BB4A7E8">
            <w:pPr>
              <w:spacing w:line="400" w:lineRule="exact"/>
              <w:jc w:val="center"/>
              <w:rPr>
                <w:rFonts w:ascii="宋体" w:hAnsi="宋体" w:cs="宋体"/>
                <w:color w:val="auto"/>
                <w:szCs w:val="21"/>
              </w:rPr>
            </w:pPr>
            <w:r>
              <w:rPr>
                <w:rFonts w:hint="eastAsia" w:ascii="宋体" w:hAnsi="宋体" w:cs="宋体"/>
                <w:color w:val="auto"/>
                <w:szCs w:val="21"/>
              </w:rPr>
              <w:t>900</w:t>
            </w:r>
          </w:p>
        </w:tc>
      </w:tr>
      <w:tr w14:paraId="5F21F48F">
        <w:tblPrEx>
          <w:tblCellMar>
            <w:top w:w="0" w:type="dxa"/>
            <w:left w:w="0" w:type="dxa"/>
            <w:bottom w:w="0" w:type="dxa"/>
            <w:right w:w="0" w:type="dxa"/>
          </w:tblCellMar>
        </w:tblPrEx>
        <w:trPr>
          <w:trHeight w:val="567" w:hRule="atLeast"/>
        </w:trPr>
        <w:tc>
          <w:tcPr>
            <w:tcW w:w="258" w:type="pct"/>
            <w:vMerge w:val="continue"/>
            <w:tcBorders>
              <w:left w:val="single" w:color="auto" w:sz="4" w:space="0"/>
              <w:right w:val="single" w:color="auto" w:sz="4" w:space="0"/>
            </w:tcBorders>
            <w:tcMar>
              <w:top w:w="13" w:type="dxa"/>
              <w:left w:w="57" w:type="dxa"/>
              <w:bottom w:w="0" w:type="dxa"/>
              <w:right w:w="57" w:type="dxa"/>
            </w:tcMar>
            <w:vAlign w:val="center"/>
          </w:tcPr>
          <w:p w14:paraId="51BCD062">
            <w:pPr>
              <w:rPr>
                <w:color w:val="auto"/>
              </w:rPr>
            </w:pPr>
          </w:p>
        </w:tc>
        <w:tc>
          <w:tcPr>
            <w:tcW w:w="371" w:type="pct"/>
            <w:gridSpan w:val="2"/>
            <w:vMerge w:val="continue"/>
            <w:tcBorders>
              <w:left w:val="nil"/>
              <w:right w:val="single" w:color="auto" w:sz="6" w:space="0"/>
            </w:tcBorders>
          </w:tcPr>
          <w:p w14:paraId="273165F0">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32EFFD6E">
            <w:pPr>
              <w:spacing w:line="400" w:lineRule="exact"/>
              <w:rPr>
                <w:rFonts w:ascii="宋体" w:hAnsi="宋体" w:cs="宋体"/>
                <w:color w:val="auto"/>
                <w:szCs w:val="21"/>
              </w:rPr>
            </w:pPr>
            <w:r>
              <w:rPr>
                <w:rFonts w:hint="eastAsia" w:ascii="宋体" w:hAnsi="宋体" w:cs="宋体"/>
                <w:color w:val="auto"/>
                <w:szCs w:val="21"/>
              </w:rPr>
              <w:t>网络营销与直播文化博物馆-动画资源</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43E4D9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依据资源库总体建设需求，网络营销与直播文化博物馆资源定制涵盖网络营销与直播电商文化起源、 20 世纪 90 年代互联网兴起初期的商业探索、在线广告、电子邮件营销等，以及网络营销概念的形成和早期成功案例与经验及阶段发展涵盖社交媒体营销崛起的应用创新与经典案例、搜索引擎优化与营销的算法影响及企业策略、内容营销的重要性与成功形式、直播电商的兴起历程及平台特点与合作案例；</w:t>
            </w:r>
          </w:p>
          <w:p w14:paraId="6ADBC47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未来发展展望：探讨新技术如人工智能等的应用前景与全新购物体验，分析个性化精准营销、社交与直播电商融合、跨境网络营销与直播电商的趋势、机遇和挑战。</w:t>
            </w:r>
          </w:p>
          <w:p w14:paraId="7F23960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241510CD">
            <w:pPr>
              <w:pStyle w:val="122"/>
              <w:spacing w:line="400" w:lineRule="exact"/>
              <w:ind w:firstLine="0" w:firstLineChars="0"/>
              <w:rPr>
                <w:rFonts w:ascii="宋体" w:hAnsi="宋体" w:eastAsia="宋体" w:cs="宋体"/>
                <w:color w:val="auto"/>
                <w:szCs w:val="21"/>
              </w:rPr>
            </w:pPr>
          </w:p>
          <w:p w14:paraId="383F064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▲1、每个动画时长1-2分钟，选取重点知识点设计与制作原创动画。</w:t>
            </w:r>
          </w:p>
          <w:p w14:paraId="6916150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▲2、包含动画资源的整体设计、知识点或技能点的提炼、动画脚本编写、原画设计、动画制作及专业配音等。</w:t>
            </w:r>
          </w:p>
          <w:p w14:paraId="5AF2BAD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▲3、动画色彩造型应和谐，画面简洁清晰，资源知识点技能点讲解清晰，画面排版及构图合理且层次性强。</w:t>
            </w:r>
          </w:p>
          <w:p w14:paraId="2901A34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4、动画设计元素静止画面时间不超过5秒钟，动画演播过程要流畅。</w:t>
            </w:r>
          </w:p>
          <w:p w14:paraId="65D3DD2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5、角色形象需饱满、生动、个性鲜明、特点突出，符合主题风格，人物眨眼，口型等动作按照提供的主要人物设眨眼，口型模版中的节奏和形式制作，可增加口型，但要做到颜色、风格统一。</w:t>
            </w:r>
          </w:p>
          <w:p w14:paraId="61D84DF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6、主要角色要完全按照人设规范绘制。根据相应剧本文字描述来进行设计，形象既要符合整片风格，又要符合人物性格，年龄层次等，观众能容易接受和喜爱。</w:t>
            </w:r>
          </w:p>
          <w:p w14:paraId="31EBA23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7、场景设计应与人物风格定位一致，细节展示丰富，色彩明快，清晰美观。景深感要强，透视正确、美观，色调和人物融合、一致，多角度制作，画面饱满，充实。</w:t>
            </w:r>
          </w:p>
          <w:p w14:paraId="1850378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8、保证角色人物形象和场景为设计师原创素材，不得产生产权纠纷。</w:t>
            </w:r>
          </w:p>
          <w:p w14:paraId="0EA4F9F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9、动画内容原始文件输出设置</w:t>
            </w:r>
          </w:p>
          <w:p w14:paraId="4B45D53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1）Mp4格式，h264编码、动画内容制作时帧速设置范围25帧/秒。</w:t>
            </w:r>
          </w:p>
          <w:p w14:paraId="389AFA1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2）输出成片分辨率不低于1920*1080。图像比16:9。</w:t>
            </w:r>
          </w:p>
          <w:p w14:paraId="1C4D915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▲10、制作完成的作品版权归采购人所有。</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8E0A510">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EC31562">
            <w:pPr>
              <w:spacing w:line="400" w:lineRule="exact"/>
              <w:jc w:val="center"/>
              <w:rPr>
                <w:rFonts w:ascii="宋体" w:hAnsi="宋体" w:cs="宋体"/>
                <w:color w:val="auto"/>
                <w:szCs w:val="21"/>
              </w:rPr>
            </w:pPr>
            <w:r>
              <w:rPr>
                <w:rFonts w:hint="eastAsia" w:ascii="宋体" w:hAnsi="宋体" w:cs="宋体"/>
                <w:color w:val="auto"/>
                <w:szCs w:val="21"/>
              </w:rPr>
              <w:t>45</w:t>
            </w:r>
          </w:p>
        </w:tc>
        <w:tc>
          <w:tcPr>
            <w:tcW w:w="273" w:type="pct"/>
            <w:tcBorders>
              <w:top w:val="single" w:color="auto" w:sz="4" w:space="0"/>
              <w:left w:val="nil"/>
              <w:bottom w:val="single" w:color="auto" w:sz="4" w:space="0"/>
              <w:right w:val="single" w:color="auto" w:sz="4" w:space="0"/>
            </w:tcBorders>
            <w:vAlign w:val="center"/>
          </w:tcPr>
          <w:p w14:paraId="485F5387">
            <w:pPr>
              <w:spacing w:line="400" w:lineRule="exact"/>
              <w:jc w:val="center"/>
              <w:rPr>
                <w:rFonts w:ascii="宋体" w:hAnsi="宋体" w:cs="宋体"/>
                <w:color w:val="auto"/>
                <w:szCs w:val="21"/>
              </w:rPr>
            </w:pPr>
            <w:r>
              <w:rPr>
                <w:rFonts w:hint="eastAsia" w:ascii="宋体" w:hAnsi="宋体" w:cs="宋体"/>
                <w:color w:val="auto"/>
                <w:szCs w:val="21"/>
              </w:rPr>
              <w:t>1000</w:t>
            </w:r>
          </w:p>
        </w:tc>
      </w:tr>
      <w:tr w14:paraId="517D7527">
        <w:tblPrEx>
          <w:tblCellMar>
            <w:top w:w="0" w:type="dxa"/>
            <w:left w:w="0" w:type="dxa"/>
            <w:bottom w:w="0" w:type="dxa"/>
            <w:right w:w="0" w:type="dxa"/>
          </w:tblCellMar>
        </w:tblPrEx>
        <w:trPr>
          <w:trHeight w:val="567" w:hRule="atLeast"/>
        </w:trPr>
        <w:tc>
          <w:tcPr>
            <w:tcW w:w="258" w:type="pct"/>
            <w:vMerge w:val="continue"/>
            <w:tcBorders>
              <w:left w:val="single" w:color="auto" w:sz="4" w:space="0"/>
              <w:right w:val="single" w:color="auto" w:sz="4" w:space="0"/>
            </w:tcBorders>
            <w:tcMar>
              <w:top w:w="13" w:type="dxa"/>
              <w:left w:w="57" w:type="dxa"/>
              <w:bottom w:w="0" w:type="dxa"/>
              <w:right w:w="57" w:type="dxa"/>
            </w:tcMar>
            <w:vAlign w:val="center"/>
          </w:tcPr>
          <w:p w14:paraId="08683AA1">
            <w:pPr>
              <w:rPr>
                <w:color w:val="auto"/>
              </w:rPr>
            </w:pPr>
          </w:p>
        </w:tc>
        <w:tc>
          <w:tcPr>
            <w:tcW w:w="371" w:type="pct"/>
            <w:gridSpan w:val="2"/>
            <w:vMerge w:val="continue"/>
            <w:tcBorders>
              <w:left w:val="nil"/>
              <w:right w:val="single" w:color="auto" w:sz="6" w:space="0"/>
            </w:tcBorders>
          </w:tcPr>
          <w:p w14:paraId="5E27252E">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2F944055">
            <w:pPr>
              <w:spacing w:line="400" w:lineRule="exact"/>
              <w:rPr>
                <w:rFonts w:ascii="宋体" w:hAnsi="宋体" w:cs="宋体"/>
                <w:color w:val="auto"/>
                <w:szCs w:val="21"/>
              </w:rPr>
            </w:pPr>
            <w:r>
              <w:rPr>
                <w:rFonts w:hint="eastAsia" w:ascii="宋体" w:hAnsi="宋体" w:cs="宋体"/>
                <w:color w:val="auto"/>
                <w:szCs w:val="21"/>
              </w:rPr>
              <w:t>网络营销与直播文化博物馆-视频讲解资源</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FD8A5D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依据资源库总体建设需求，网络营销与直播文化博物馆资源定制涵盖网络营销与直播电商文化起源、 20 世纪 90 年代互联网兴起初期的商业探索、在线广告、电子邮件营销等，以及网络营销概念的形成和早期成功案例与经验及阶段发展涵盖社交媒体营销崛起的应用创新与经典案例、搜索引擎优化与营销的算法影响及企业策略、内容营销的重要性与成功形式、直播电商的兴起历程及平台特点与合作案例；</w:t>
            </w:r>
          </w:p>
          <w:p w14:paraId="52589D7A">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未来发展展望：探讨新技术如人工智能等的应用前景与全新购物体验，分析个性化精准营销、社交与直播电商融合、跨境网络营销与直播电商的趋势、机遇和挑战。</w:t>
            </w:r>
          </w:p>
          <w:p w14:paraId="027E600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4780AC45">
            <w:pPr>
              <w:spacing w:line="400" w:lineRule="exact"/>
              <w:rPr>
                <w:rFonts w:ascii="宋体" w:hAnsi="宋体" w:cs="宋体"/>
                <w:color w:val="auto"/>
                <w:szCs w:val="21"/>
              </w:rPr>
            </w:pPr>
          </w:p>
          <w:p w14:paraId="431B2C5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▲1、确定内容及表现形式，从而进行教学资源的设计与后期制作；</w:t>
            </w:r>
          </w:p>
          <w:p w14:paraId="3129A90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▲2、视频时长3-6分钟；画质、音质清晰，字母清晰，播放流畅。</w:t>
            </w:r>
          </w:p>
          <w:p w14:paraId="011FF90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▲3、视频根据资源化建设内容中提取的重难点进行筛选，围绕重难点形成视频。</w:t>
            </w:r>
          </w:p>
          <w:p w14:paraId="5FCCA37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4、拍摄设备要求</w:t>
            </w:r>
          </w:p>
          <w:p w14:paraId="62D3D5D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1）拍摄设备:现场摄像机要求使用专业级数字高清设备、品牌及型号一致，且为一线品牌。</w:t>
            </w:r>
          </w:p>
          <w:p w14:paraId="4CB152A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2）音频设备：现场录制要求使用专业级音频设备，保证教师和学生发言的录音质量。</w:t>
            </w:r>
          </w:p>
          <w:p w14:paraId="21C2E7A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3）灯光设备：专业影视摄影镝灯，LED面光灯等。</w:t>
            </w:r>
          </w:p>
          <w:p w14:paraId="3E41146B">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4）辅助记忆设备：提供提词器。</w:t>
            </w:r>
          </w:p>
          <w:p w14:paraId="65FFD9E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5）存储设备：设备及有效容量应能保证正常完成拍摄任务。</w:t>
            </w:r>
          </w:p>
          <w:p w14:paraId="28D60485">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6）后期制作设备：专业的非线性编辑系统。</w:t>
            </w:r>
          </w:p>
          <w:p w14:paraId="4B717D8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5、视频信号源技术指标要求</w:t>
            </w:r>
          </w:p>
          <w:p w14:paraId="3BD639CA">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1）稳定性：全片图像同步性能稳定，无失步现象，CTL同步控制信号必须连续；图像无抖动跳跃，色彩无突变，编辑点处图像稳定。</w:t>
            </w:r>
          </w:p>
          <w:p w14:paraId="4E4ED6A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2）信噪比：图像信噪比不低于55dB，无明显杂波。</w:t>
            </w:r>
          </w:p>
          <w:p w14:paraId="7B812A6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3）色调：白平衡正确，无明显偏色，多机拍摄的镜头衔接处无明显色差。</w:t>
            </w:r>
          </w:p>
          <w:p w14:paraId="03E91545">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4）视频电平：视频全讯号幅度为1Ⅴp-p，最大不超过1.1Ⅴ p-p。其中，消隐电平为0V时，白电平幅度0.7Ⅴp-p，同步信号-0.3V，色同步信号幅度0.3V p-p (以消隐线上下对称)，全片一致。</w:t>
            </w:r>
          </w:p>
          <w:p w14:paraId="30A3E60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6、版权说明</w:t>
            </w:r>
          </w:p>
          <w:p w14:paraId="1B69B41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1）所有素材及资源制作的版权归属学校所有。</w:t>
            </w:r>
          </w:p>
          <w:p w14:paraId="732546D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2）注意成片中所有使用的图片、音视频等素材的版权问题，规避版权风险。</w:t>
            </w:r>
          </w:p>
          <w:p w14:paraId="63A6B5B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▲7、数字化资源内容为定制化开发内容。</w:t>
            </w:r>
          </w:p>
          <w:p w14:paraId="5CF1E39D">
            <w:pPr>
              <w:spacing w:line="400" w:lineRule="exact"/>
              <w:rPr>
                <w:rFonts w:ascii="宋体" w:hAnsi="宋体" w:cs="宋体"/>
                <w:color w:val="auto"/>
                <w:szCs w:val="21"/>
              </w:rPr>
            </w:pP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EF0C39B">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17967B3">
            <w:pPr>
              <w:spacing w:line="400" w:lineRule="exact"/>
              <w:jc w:val="center"/>
              <w:rPr>
                <w:rFonts w:ascii="宋体" w:hAnsi="宋体" w:cs="宋体"/>
                <w:color w:val="auto"/>
                <w:szCs w:val="21"/>
              </w:rPr>
            </w:pPr>
            <w:r>
              <w:rPr>
                <w:rFonts w:hint="eastAsia" w:ascii="宋体" w:hAnsi="宋体" w:cs="宋体"/>
                <w:color w:val="auto"/>
                <w:szCs w:val="21"/>
              </w:rPr>
              <w:t>85</w:t>
            </w:r>
          </w:p>
        </w:tc>
        <w:tc>
          <w:tcPr>
            <w:tcW w:w="273" w:type="pct"/>
            <w:tcBorders>
              <w:top w:val="single" w:color="auto" w:sz="4" w:space="0"/>
              <w:left w:val="nil"/>
              <w:bottom w:val="single" w:color="auto" w:sz="4" w:space="0"/>
              <w:right w:val="single" w:color="auto" w:sz="4" w:space="0"/>
            </w:tcBorders>
            <w:vAlign w:val="center"/>
          </w:tcPr>
          <w:p w14:paraId="379422BD">
            <w:pPr>
              <w:spacing w:line="400" w:lineRule="exact"/>
              <w:jc w:val="center"/>
              <w:rPr>
                <w:rFonts w:ascii="宋体" w:hAnsi="宋体" w:cs="宋体"/>
                <w:color w:val="auto"/>
                <w:szCs w:val="21"/>
              </w:rPr>
            </w:pPr>
            <w:r>
              <w:rPr>
                <w:rFonts w:hint="eastAsia" w:ascii="宋体" w:hAnsi="宋体" w:cs="宋体"/>
                <w:color w:val="auto"/>
                <w:szCs w:val="21"/>
              </w:rPr>
              <w:t>750</w:t>
            </w:r>
          </w:p>
        </w:tc>
      </w:tr>
      <w:tr w14:paraId="19F2103F">
        <w:tblPrEx>
          <w:tblCellMar>
            <w:top w:w="0" w:type="dxa"/>
            <w:left w:w="0" w:type="dxa"/>
            <w:bottom w:w="0" w:type="dxa"/>
            <w:right w:w="0" w:type="dxa"/>
          </w:tblCellMar>
        </w:tblPrEx>
        <w:trPr>
          <w:trHeight w:val="567" w:hRule="atLeast"/>
        </w:trPr>
        <w:tc>
          <w:tcPr>
            <w:tcW w:w="258" w:type="pct"/>
            <w:vMerge w:val="continue"/>
            <w:tcBorders>
              <w:left w:val="single" w:color="auto" w:sz="4" w:space="0"/>
              <w:right w:val="single" w:color="auto" w:sz="4" w:space="0"/>
            </w:tcBorders>
            <w:tcMar>
              <w:top w:w="13" w:type="dxa"/>
              <w:left w:w="57" w:type="dxa"/>
              <w:bottom w:w="0" w:type="dxa"/>
              <w:right w:w="57" w:type="dxa"/>
            </w:tcMar>
            <w:vAlign w:val="center"/>
          </w:tcPr>
          <w:p w14:paraId="629BBF47">
            <w:pPr>
              <w:rPr>
                <w:color w:val="auto"/>
              </w:rPr>
            </w:pPr>
          </w:p>
        </w:tc>
        <w:tc>
          <w:tcPr>
            <w:tcW w:w="371" w:type="pct"/>
            <w:gridSpan w:val="2"/>
            <w:vMerge w:val="continue"/>
            <w:tcBorders>
              <w:left w:val="nil"/>
              <w:right w:val="single" w:color="auto" w:sz="6" w:space="0"/>
            </w:tcBorders>
          </w:tcPr>
          <w:p w14:paraId="0BF9A9B4">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36FCACD8">
            <w:pPr>
              <w:spacing w:line="400" w:lineRule="exact"/>
              <w:rPr>
                <w:rFonts w:ascii="宋体" w:hAnsi="宋体" w:cs="宋体"/>
                <w:color w:val="auto"/>
                <w:szCs w:val="21"/>
              </w:rPr>
            </w:pPr>
            <w:r>
              <w:rPr>
                <w:rFonts w:hint="eastAsia" w:ascii="宋体" w:hAnsi="宋体" w:cs="宋体"/>
                <w:color w:val="auto"/>
                <w:szCs w:val="21"/>
              </w:rPr>
              <w:t>网络营销与直播文化博物馆-三维仿真资源</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B2C26F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依据资源库总体建设需求，网络营销与直播文化博物馆资源定制涵盖网络营销与直播电商文化起源、 20 世纪 90 年代互联网兴起初期的商业探索、在线广告、电子邮件营销等，以及网络营销概念的形成和早期成功案例与经验及阶段发展涵盖社交媒体营销崛起的应用创新与经典案例、搜索引擎优化与营销的算法影响及企业策略、内容营销的重要性与成功形式、直播电商的兴起历程及平台特点与合作案例；</w:t>
            </w:r>
          </w:p>
          <w:p w14:paraId="71FD5CA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未来发展展望：探讨新技术如人工智能等的应用前景与全新购物体验，分析个性化精准营销、社交与直播电商融合、跨境网络营销与直播电商的趋势、机遇和挑战。</w:t>
            </w:r>
          </w:p>
          <w:p w14:paraId="55159B0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3A0C32EF">
            <w:pPr>
              <w:spacing w:line="400" w:lineRule="exact"/>
              <w:rPr>
                <w:rFonts w:ascii="宋体" w:hAnsi="宋体" w:cs="宋体"/>
                <w:color w:val="auto"/>
                <w:szCs w:val="21"/>
              </w:rPr>
            </w:pPr>
          </w:p>
          <w:p w14:paraId="1D15387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 xml:space="preserve">▲1、仿真资源不少于1分钟/个，输出格式为mp4。 </w:t>
            </w:r>
          </w:p>
          <w:p w14:paraId="143BCB0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 xml:space="preserve">▲2、要求原创，且能生动有趣具体的表现知识点。 </w:t>
            </w:r>
          </w:p>
          <w:p w14:paraId="02B7B1F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 xml:space="preserve">▲3、采用建模的方式，满足三维或数据可视化表达需求。 </w:t>
            </w:r>
          </w:p>
          <w:p w14:paraId="0B6C72A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4、仿真资源与动画资源具有鲜明区别，语音部分有与内容相对应的字幕。</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36A9C88">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7FBAD9D">
            <w:pPr>
              <w:spacing w:line="400" w:lineRule="exact"/>
              <w:jc w:val="center"/>
              <w:rPr>
                <w:rFonts w:ascii="宋体" w:hAnsi="宋体" w:cs="宋体"/>
                <w:color w:val="auto"/>
                <w:szCs w:val="21"/>
              </w:rPr>
            </w:pPr>
            <w:r>
              <w:rPr>
                <w:rFonts w:hint="eastAsia" w:ascii="宋体" w:hAnsi="宋体" w:cs="宋体"/>
                <w:color w:val="auto"/>
                <w:szCs w:val="21"/>
              </w:rPr>
              <w:t>3</w:t>
            </w:r>
          </w:p>
        </w:tc>
        <w:tc>
          <w:tcPr>
            <w:tcW w:w="273" w:type="pct"/>
            <w:tcBorders>
              <w:top w:val="single" w:color="auto" w:sz="4" w:space="0"/>
              <w:left w:val="nil"/>
              <w:bottom w:val="single" w:color="auto" w:sz="4" w:space="0"/>
              <w:right w:val="single" w:color="auto" w:sz="4" w:space="0"/>
            </w:tcBorders>
            <w:vAlign w:val="center"/>
          </w:tcPr>
          <w:p w14:paraId="0AD4A77A">
            <w:pPr>
              <w:spacing w:line="400" w:lineRule="exact"/>
              <w:jc w:val="center"/>
              <w:rPr>
                <w:rFonts w:ascii="宋体" w:hAnsi="宋体" w:cs="宋体"/>
                <w:color w:val="auto"/>
                <w:szCs w:val="21"/>
              </w:rPr>
            </w:pPr>
            <w:r>
              <w:rPr>
                <w:rFonts w:hint="eastAsia" w:ascii="宋体" w:hAnsi="宋体" w:cs="宋体"/>
                <w:color w:val="auto"/>
                <w:szCs w:val="21"/>
              </w:rPr>
              <w:t>1250</w:t>
            </w:r>
          </w:p>
        </w:tc>
      </w:tr>
      <w:tr w14:paraId="681E7D17">
        <w:tblPrEx>
          <w:tblCellMar>
            <w:top w:w="0" w:type="dxa"/>
            <w:left w:w="0" w:type="dxa"/>
            <w:bottom w:w="0" w:type="dxa"/>
            <w:right w:w="0" w:type="dxa"/>
          </w:tblCellMar>
        </w:tblPrEx>
        <w:trPr>
          <w:trHeight w:val="567" w:hRule="atLeast"/>
        </w:trPr>
        <w:tc>
          <w:tcPr>
            <w:tcW w:w="258" w:type="pct"/>
            <w:vMerge w:val="continue"/>
            <w:tcBorders>
              <w:left w:val="single" w:color="auto" w:sz="4" w:space="0"/>
              <w:right w:val="single" w:color="auto" w:sz="4" w:space="0"/>
            </w:tcBorders>
            <w:tcMar>
              <w:top w:w="13" w:type="dxa"/>
              <w:left w:w="57" w:type="dxa"/>
              <w:bottom w:w="0" w:type="dxa"/>
              <w:right w:w="57" w:type="dxa"/>
            </w:tcMar>
            <w:vAlign w:val="center"/>
          </w:tcPr>
          <w:p w14:paraId="03E1A6A9">
            <w:pPr>
              <w:rPr>
                <w:color w:val="auto"/>
              </w:rPr>
            </w:pPr>
          </w:p>
        </w:tc>
        <w:tc>
          <w:tcPr>
            <w:tcW w:w="371" w:type="pct"/>
            <w:gridSpan w:val="2"/>
            <w:vMerge w:val="continue"/>
            <w:tcBorders>
              <w:left w:val="nil"/>
              <w:right w:val="single" w:color="auto" w:sz="6" w:space="0"/>
            </w:tcBorders>
          </w:tcPr>
          <w:p w14:paraId="54397292">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375EDC85">
            <w:pPr>
              <w:spacing w:line="400" w:lineRule="exact"/>
              <w:rPr>
                <w:rFonts w:ascii="宋体" w:hAnsi="宋体" w:cs="宋体"/>
                <w:color w:val="auto"/>
                <w:szCs w:val="21"/>
              </w:rPr>
            </w:pPr>
            <w:r>
              <w:rPr>
                <w:rFonts w:hint="eastAsia" w:ascii="宋体" w:hAnsi="宋体" w:cs="宋体"/>
                <w:color w:val="auto"/>
                <w:szCs w:val="21"/>
              </w:rPr>
              <w:t>网络营销与直播文化博物馆-文本资源</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26763C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依据资源库总体建设需求，网络营销与直播文化博物馆资源定制涵盖网络营销与直播电商文化起源、 20 世纪 90 年代互联网兴起初期的商业探索、在线广告、电子邮件营销等，以及网络营销概念的形成和早期成功案例与经验及阶段发展涵盖社交媒体营销崛起的应用创新与经典案例、搜索引擎优化与营销的算法影响及企业策略、内容营销的重要性与成功形式、直播电商的兴起历程及平台特点与合作案例；</w:t>
            </w:r>
          </w:p>
          <w:p w14:paraId="5FF452A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未来发展展望：探讨新技术如人工智能等的应用前景与全新购物体验，分析个性化精准营销、社交与直播电商融合、跨境网络营销与直播电商的趋势、机遇和挑战。</w:t>
            </w:r>
          </w:p>
          <w:p w14:paraId="3EBE8FEB">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09CEA194">
            <w:pPr>
              <w:pStyle w:val="122"/>
              <w:spacing w:line="400" w:lineRule="exact"/>
              <w:ind w:firstLine="0" w:firstLineChars="0"/>
              <w:rPr>
                <w:rFonts w:ascii="宋体" w:hAnsi="宋体" w:eastAsia="宋体" w:cs="宋体"/>
                <w:color w:val="auto"/>
                <w:szCs w:val="21"/>
              </w:rPr>
            </w:pPr>
          </w:p>
          <w:p w14:paraId="288C2D0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1、文本资源包括格式统一，排版美观大方；内容丰富，形式多样。</w:t>
            </w:r>
          </w:p>
          <w:p w14:paraId="479E8D6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2、‌文本型参数具体要求‌：</w:t>
            </w:r>
          </w:p>
          <w:p w14:paraId="7689052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‌text类型‌：最大长度为2^31-1个字符，存储长度为实际字符数个字节。</w:t>
            </w:r>
          </w:p>
          <w:p w14:paraId="7210641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‌ntext类型‌：最大长度为2^30-1个Unicode字符，存储长度是实际字符个数的两倍。</w:t>
            </w:r>
          </w:p>
          <w:p w14:paraId="1D0F11DB">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3、‌字体相关参数‌：</w:t>
            </w:r>
          </w:p>
          <w:p w14:paraId="231729A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‌字体分类‌：主要分为有衬线字与无衬线字，两者风格迥异，各有特色。</w:t>
            </w:r>
          </w:p>
          <w:p w14:paraId="0080A97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‌字号‌：指字符的大小，通常正文内容使用18号字，且需保持一致性。</w:t>
            </w:r>
          </w:p>
          <w:p w14:paraId="3288841A">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‌字重‌：指字体的粗细程度，字重越重越显得大气、雄壮，字重越轻越显得精致、秀气。</w:t>
            </w:r>
          </w:p>
          <w:p w14:paraId="6CA985E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‌字距‌：指字符之间的间距，合适的字距能增强文字的呼吸感，带来最优的阅读体验。</w:t>
            </w:r>
          </w:p>
          <w:p w14:paraId="2AE85F1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‌行距‌：指每行之间的间距，合适的行距能使得画面排版更美观，提升阅读体验感。</w:t>
            </w:r>
          </w:p>
          <w:p w14:paraId="4B6A6822">
            <w:pPr>
              <w:spacing w:line="400" w:lineRule="exact"/>
              <w:rPr>
                <w:rFonts w:ascii="宋体" w:hAnsi="宋体" w:cs="宋体"/>
                <w:color w:val="auto"/>
                <w:szCs w:val="21"/>
              </w:rPr>
            </w:pP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73947ED">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E825292">
            <w:pPr>
              <w:spacing w:line="400" w:lineRule="exact"/>
              <w:jc w:val="center"/>
              <w:rPr>
                <w:rFonts w:ascii="宋体" w:hAnsi="宋体" w:cs="宋体"/>
                <w:color w:val="auto"/>
                <w:szCs w:val="21"/>
              </w:rPr>
            </w:pPr>
            <w:r>
              <w:rPr>
                <w:rFonts w:hint="eastAsia" w:ascii="宋体" w:hAnsi="宋体" w:cs="宋体"/>
                <w:color w:val="auto"/>
                <w:szCs w:val="21"/>
              </w:rPr>
              <w:t>100</w:t>
            </w:r>
          </w:p>
        </w:tc>
        <w:tc>
          <w:tcPr>
            <w:tcW w:w="273" w:type="pct"/>
            <w:tcBorders>
              <w:top w:val="single" w:color="auto" w:sz="4" w:space="0"/>
              <w:left w:val="nil"/>
              <w:bottom w:val="single" w:color="auto" w:sz="4" w:space="0"/>
              <w:right w:val="single" w:color="auto" w:sz="4" w:space="0"/>
            </w:tcBorders>
            <w:vAlign w:val="center"/>
          </w:tcPr>
          <w:p w14:paraId="583C432D">
            <w:pPr>
              <w:spacing w:line="400" w:lineRule="exact"/>
              <w:jc w:val="center"/>
              <w:rPr>
                <w:rFonts w:ascii="宋体" w:hAnsi="宋体" w:cs="宋体"/>
                <w:color w:val="auto"/>
                <w:szCs w:val="21"/>
              </w:rPr>
            </w:pPr>
            <w:r>
              <w:rPr>
                <w:rFonts w:hint="eastAsia" w:ascii="宋体" w:hAnsi="宋体" w:cs="宋体"/>
                <w:color w:val="auto"/>
                <w:szCs w:val="21"/>
              </w:rPr>
              <w:t>6</w:t>
            </w:r>
          </w:p>
        </w:tc>
      </w:tr>
      <w:tr w14:paraId="17196011">
        <w:tblPrEx>
          <w:tblCellMar>
            <w:top w:w="0" w:type="dxa"/>
            <w:left w:w="0" w:type="dxa"/>
            <w:bottom w:w="0" w:type="dxa"/>
            <w:right w:w="0" w:type="dxa"/>
          </w:tblCellMar>
        </w:tblPrEx>
        <w:trPr>
          <w:trHeight w:val="567" w:hRule="atLeast"/>
        </w:trPr>
        <w:tc>
          <w:tcPr>
            <w:tcW w:w="258" w:type="pct"/>
            <w:vMerge w:val="continue"/>
            <w:tcBorders>
              <w:left w:val="single" w:color="auto" w:sz="4" w:space="0"/>
              <w:bottom w:val="single" w:color="auto" w:sz="4" w:space="0"/>
              <w:right w:val="single" w:color="auto" w:sz="4" w:space="0"/>
            </w:tcBorders>
            <w:tcMar>
              <w:top w:w="13" w:type="dxa"/>
              <w:left w:w="57" w:type="dxa"/>
              <w:bottom w:w="0" w:type="dxa"/>
              <w:right w:w="57" w:type="dxa"/>
            </w:tcMar>
            <w:vAlign w:val="center"/>
          </w:tcPr>
          <w:p w14:paraId="3DFA54FD">
            <w:pPr>
              <w:rPr>
                <w:color w:val="auto"/>
              </w:rPr>
            </w:pPr>
          </w:p>
        </w:tc>
        <w:tc>
          <w:tcPr>
            <w:tcW w:w="371" w:type="pct"/>
            <w:gridSpan w:val="2"/>
            <w:vMerge w:val="continue"/>
            <w:tcBorders>
              <w:left w:val="nil"/>
              <w:bottom w:val="single" w:color="auto" w:sz="6" w:space="0"/>
              <w:right w:val="single" w:color="auto" w:sz="6" w:space="0"/>
            </w:tcBorders>
          </w:tcPr>
          <w:p w14:paraId="4D9ABA84">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40DAC5C8">
            <w:pPr>
              <w:spacing w:line="400" w:lineRule="exact"/>
              <w:rPr>
                <w:rFonts w:ascii="宋体" w:hAnsi="宋体" w:cs="宋体"/>
                <w:color w:val="auto"/>
                <w:szCs w:val="21"/>
              </w:rPr>
            </w:pPr>
            <w:r>
              <w:rPr>
                <w:rFonts w:hint="eastAsia" w:ascii="宋体" w:hAnsi="宋体" w:cs="宋体"/>
                <w:color w:val="auto"/>
                <w:szCs w:val="21"/>
              </w:rPr>
              <w:t>网络营销与直播文化博物馆-音频资源</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841D39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依据资源库总体建设需求，网络营销与直播文化博物馆资源定制涵盖网络营销与直播电商文化起源、 20 世纪 90 年代互联网兴起初期的商业探索、在线广告、电子邮件营销等，以及网络营销概念的形成和早期成功案例与经验及阶段发展涵盖社交媒体营销崛起的应用创新与经典案例、搜索引擎优化与营销的算法影响及企业策略、内容营销的重要性与成功形式、直播电商的兴起历程及平台特点与合作案例；</w:t>
            </w:r>
          </w:p>
          <w:p w14:paraId="14BE813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未来发展展望：探讨新技术如人工智能等的应用前景与全新购物体验，分析个性化精准营销、社交与直播电商融合、跨境网络营销与直播电商的趋势、机遇和挑战。</w:t>
            </w:r>
          </w:p>
          <w:p w14:paraId="219CC2A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1BB2FCAD">
            <w:pPr>
              <w:spacing w:line="400" w:lineRule="exact"/>
              <w:rPr>
                <w:rFonts w:ascii="宋体" w:hAnsi="宋体" w:cs="宋体"/>
                <w:color w:val="auto"/>
                <w:szCs w:val="21"/>
              </w:rPr>
            </w:pPr>
          </w:p>
          <w:p w14:paraId="73E6CE0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1、输出格式为MP3。</w:t>
            </w:r>
          </w:p>
          <w:p w14:paraId="0695634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2、音频时长为3-5分钟。</w:t>
            </w:r>
          </w:p>
          <w:p w14:paraId="49352C1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3、语音采用标准的普通话、美式或英式英语配音，特殊语言学习和材料除外，使用适合教学的语调。</w:t>
            </w:r>
          </w:p>
          <w:p w14:paraId="3B4395D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4、音频信号源技术指标要求</w:t>
            </w:r>
          </w:p>
          <w:p w14:paraId="7ADC993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1）声道：中文内容音频信号记录于第1声道，音乐、音效、同期声记录于第2声道，若有其他文字解说记录于第3声道（如录音设备无第3声道，则录于第2声道）。</w:t>
            </w:r>
          </w:p>
          <w:p w14:paraId="467D8B1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2）电平指标：-2db — -8db声音应无明显失真、放音过冲、过弱。</w:t>
            </w:r>
          </w:p>
          <w:p w14:paraId="6B36139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3）音频信噪比不低于48db。</w:t>
            </w:r>
          </w:p>
          <w:p w14:paraId="0F20B1E6">
            <w:pPr>
              <w:spacing w:line="400" w:lineRule="exact"/>
              <w:rPr>
                <w:rFonts w:ascii="宋体" w:hAnsi="宋体" w:cs="宋体"/>
                <w:color w:val="auto"/>
                <w:szCs w:val="21"/>
              </w:rPr>
            </w:pPr>
            <w:r>
              <w:rPr>
                <w:rFonts w:hint="eastAsia" w:ascii="宋体" w:hAnsi="宋体" w:cs="宋体"/>
                <w:color w:val="auto"/>
                <w:szCs w:val="21"/>
              </w:rPr>
              <w:t>声音和画面要求同步，无交流声或其他杂音等缺陷。伴音清晰、饱满、圆润，无失真、噪声杂音干扰、音量忽大忽小现象。解说声与现场声无明显比例失调，解说声与背景音乐无明显比例失调。</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1BEE612">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87D4692">
            <w:pPr>
              <w:spacing w:line="400" w:lineRule="exact"/>
              <w:jc w:val="center"/>
              <w:rPr>
                <w:rFonts w:ascii="宋体" w:hAnsi="宋体" w:cs="宋体"/>
                <w:color w:val="auto"/>
                <w:szCs w:val="21"/>
              </w:rPr>
            </w:pPr>
            <w:r>
              <w:rPr>
                <w:rFonts w:hint="eastAsia" w:ascii="宋体" w:hAnsi="宋体" w:cs="宋体"/>
                <w:color w:val="auto"/>
                <w:szCs w:val="21"/>
              </w:rPr>
              <w:t>60</w:t>
            </w:r>
          </w:p>
        </w:tc>
        <w:tc>
          <w:tcPr>
            <w:tcW w:w="273" w:type="pct"/>
            <w:tcBorders>
              <w:top w:val="single" w:color="auto" w:sz="4" w:space="0"/>
              <w:left w:val="nil"/>
              <w:bottom w:val="single" w:color="auto" w:sz="4" w:space="0"/>
              <w:right w:val="single" w:color="auto" w:sz="4" w:space="0"/>
            </w:tcBorders>
            <w:vAlign w:val="center"/>
          </w:tcPr>
          <w:p w14:paraId="4846BFEB">
            <w:pPr>
              <w:spacing w:line="400" w:lineRule="exact"/>
              <w:jc w:val="center"/>
              <w:rPr>
                <w:rFonts w:ascii="宋体" w:hAnsi="宋体" w:cs="宋体"/>
                <w:color w:val="auto"/>
                <w:szCs w:val="21"/>
              </w:rPr>
            </w:pPr>
            <w:r>
              <w:rPr>
                <w:rFonts w:hint="eastAsia" w:ascii="宋体" w:hAnsi="宋体" w:cs="宋体"/>
                <w:color w:val="auto"/>
                <w:szCs w:val="21"/>
              </w:rPr>
              <w:t>4</w:t>
            </w:r>
          </w:p>
        </w:tc>
      </w:tr>
      <w:tr w14:paraId="47E1E8F8">
        <w:tblPrEx>
          <w:tblCellMar>
            <w:top w:w="0" w:type="dxa"/>
            <w:left w:w="0" w:type="dxa"/>
            <w:bottom w:w="0" w:type="dxa"/>
            <w:right w:w="0" w:type="dxa"/>
          </w:tblCellMar>
        </w:tblPrEx>
        <w:trPr>
          <w:trHeight w:val="567" w:hRule="atLeast"/>
        </w:trPr>
        <w:tc>
          <w:tcPr>
            <w:tcW w:w="4001" w:type="pct"/>
            <w:gridSpan w:val="5"/>
            <w:tcBorders>
              <w:top w:val="single" w:color="auto" w:sz="4" w:space="0"/>
              <w:left w:val="single" w:color="auto" w:sz="4" w:space="0"/>
              <w:right w:val="single" w:color="auto" w:sz="4" w:space="0"/>
            </w:tcBorders>
            <w:tcMar>
              <w:top w:w="13" w:type="dxa"/>
              <w:left w:w="57" w:type="dxa"/>
              <w:bottom w:w="0" w:type="dxa"/>
              <w:right w:w="57" w:type="dxa"/>
            </w:tcMar>
            <w:vAlign w:val="center"/>
          </w:tcPr>
          <w:p w14:paraId="5D14E897">
            <w:pPr>
              <w:spacing w:line="400" w:lineRule="exact"/>
              <w:rPr>
                <w:rFonts w:ascii="宋体" w:hAnsi="宋体" w:cs="宋体"/>
                <w:b/>
                <w:color w:val="auto"/>
                <w:szCs w:val="21"/>
              </w:rPr>
            </w:pPr>
            <w:r>
              <w:rPr>
                <w:rFonts w:hint="eastAsia" w:ascii="宋体" w:hAnsi="宋体" w:cs="宋体"/>
                <w:b/>
                <w:color w:val="auto"/>
                <w:szCs w:val="21"/>
              </w:rPr>
              <w:t>小计：131340元</w:t>
            </w:r>
          </w:p>
        </w:tc>
        <w:tc>
          <w:tcPr>
            <w:tcW w:w="999" w:type="pct"/>
            <w:gridSpan w:val="3"/>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651384A">
            <w:pPr>
              <w:spacing w:line="400" w:lineRule="exact"/>
              <w:rPr>
                <w:rFonts w:ascii="宋体" w:hAnsi="宋体" w:cs="宋体"/>
                <w:color w:val="auto"/>
                <w:szCs w:val="21"/>
              </w:rPr>
            </w:pPr>
          </w:p>
        </w:tc>
      </w:tr>
      <w:tr w14:paraId="51AFD3D7">
        <w:tblPrEx>
          <w:tblCellMar>
            <w:top w:w="0" w:type="dxa"/>
            <w:left w:w="0" w:type="dxa"/>
            <w:bottom w:w="0" w:type="dxa"/>
            <w:right w:w="0" w:type="dxa"/>
          </w:tblCellMar>
        </w:tblPrEx>
        <w:trPr>
          <w:trHeight w:val="567" w:hRule="atLeast"/>
        </w:trPr>
        <w:tc>
          <w:tcPr>
            <w:tcW w:w="258" w:type="pct"/>
            <w:vMerge w:val="restart"/>
            <w:tcBorders>
              <w:top w:val="single" w:color="auto" w:sz="4" w:space="0"/>
              <w:left w:val="single" w:color="auto" w:sz="4" w:space="0"/>
              <w:right w:val="single" w:color="auto" w:sz="4" w:space="0"/>
            </w:tcBorders>
            <w:tcMar>
              <w:top w:w="13" w:type="dxa"/>
              <w:left w:w="57" w:type="dxa"/>
              <w:bottom w:w="0" w:type="dxa"/>
              <w:right w:w="57" w:type="dxa"/>
            </w:tcMar>
            <w:vAlign w:val="center"/>
          </w:tcPr>
          <w:p w14:paraId="2570D184">
            <w:pPr>
              <w:rPr>
                <w:color w:val="auto"/>
              </w:rPr>
            </w:pPr>
          </w:p>
          <w:p w14:paraId="2F174D67">
            <w:pPr>
              <w:rPr>
                <w:color w:val="auto"/>
              </w:rPr>
            </w:pPr>
            <w:r>
              <w:rPr>
                <w:rFonts w:hint="eastAsia"/>
                <w:color w:val="auto"/>
              </w:rPr>
              <w:t>2</w:t>
            </w:r>
          </w:p>
        </w:tc>
        <w:tc>
          <w:tcPr>
            <w:tcW w:w="371" w:type="pct"/>
            <w:gridSpan w:val="2"/>
            <w:vMerge w:val="restart"/>
            <w:tcBorders>
              <w:top w:val="single" w:color="auto" w:sz="6" w:space="0"/>
              <w:left w:val="nil"/>
              <w:right w:val="single" w:color="auto" w:sz="6" w:space="0"/>
            </w:tcBorders>
          </w:tcPr>
          <w:p w14:paraId="0110B745">
            <w:pPr>
              <w:spacing w:line="400" w:lineRule="exact"/>
              <w:rPr>
                <w:rFonts w:ascii="宋体" w:hAnsi="宋体" w:cs="宋体"/>
                <w:color w:val="auto"/>
                <w:szCs w:val="21"/>
              </w:rPr>
            </w:pPr>
          </w:p>
          <w:p w14:paraId="11D8EE19">
            <w:pPr>
              <w:spacing w:line="400" w:lineRule="exact"/>
              <w:rPr>
                <w:rFonts w:ascii="宋体" w:hAnsi="宋体" w:cs="宋体"/>
                <w:color w:val="auto"/>
                <w:szCs w:val="21"/>
              </w:rPr>
            </w:pPr>
          </w:p>
          <w:p w14:paraId="2245AFA6">
            <w:pPr>
              <w:spacing w:line="400" w:lineRule="exact"/>
              <w:rPr>
                <w:rFonts w:ascii="宋体" w:hAnsi="宋体" w:cs="宋体"/>
                <w:color w:val="auto"/>
                <w:szCs w:val="21"/>
              </w:rPr>
            </w:pPr>
          </w:p>
          <w:p w14:paraId="53CFB0E3">
            <w:pPr>
              <w:spacing w:line="400" w:lineRule="exact"/>
              <w:rPr>
                <w:rFonts w:ascii="宋体" w:hAnsi="宋体" w:cs="宋体"/>
                <w:color w:val="auto"/>
                <w:szCs w:val="21"/>
              </w:rPr>
            </w:pPr>
          </w:p>
          <w:p w14:paraId="7D37A0D6">
            <w:pPr>
              <w:spacing w:line="400" w:lineRule="exact"/>
              <w:rPr>
                <w:rFonts w:ascii="宋体" w:hAnsi="宋体" w:cs="宋体"/>
                <w:color w:val="auto"/>
                <w:szCs w:val="21"/>
              </w:rPr>
            </w:pPr>
          </w:p>
          <w:p w14:paraId="0A010A91">
            <w:pPr>
              <w:spacing w:line="400" w:lineRule="exact"/>
              <w:rPr>
                <w:rFonts w:ascii="宋体" w:hAnsi="宋体" w:cs="宋体"/>
                <w:color w:val="auto"/>
                <w:szCs w:val="21"/>
              </w:rPr>
            </w:pPr>
          </w:p>
          <w:p w14:paraId="56F0CF58">
            <w:pPr>
              <w:spacing w:line="400" w:lineRule="exact"/>
              <w:rPr>
                <w:rFonts w:ascii="宋体" w:hAnsi="宋体" w:cs="宋体"/>
                <w:color w:val="auto"/>
                <w:szCs w:val="21"/>
              </w:rPr>
            </w:pPr>
          </w:p>
          <w:p w14:paraId="3D971796">
            <w:pPr>
              <w:spacing w:line="400" w:lineRule="exact"/>
              <w:rPr>
                <w:rFonts w:ascii="宋体" w:hAnsi="宋体" w:cs="宋体"/>
                <w:color w:val="auto"/>
                <w:szCs w:val="21"/>
              </w:rPr>
            </w:pPr>
          </w:p>
          <w:p w14:paraId="7D915240">
            <w:pPr>
              <w:spacing w:line="400" w:lineRule="exact"/>
              <w:rPr>
                <w:rFonts w:ascii="宋体" w:hAnsi="宋体" w:cs="宋体"/>
                <w:color w:val="auto"/>
                <w:szCs w:val="21"/>
              </w:rPr>
            </w:pPr>
          </w:p>
          <w:p w14:paraId="5C447D9D">
            <w:pPr>
              <w:spacing w:line="400" w:lineRule="exact"/>
              <w:rPr>
                <w:rFonts w:ascii="宋体" w:hAnsi="宋体" w:cs="宋体"/>
                <w:color w:val="auto"/>
                <w:szCs w:val="21"/>
              </w:rPr>
            </w:pPr>
          </w:p>
          <w:p w14:paraId="1F0B686F">
            <w:pPr>
              <w:spacing w:line="400" w:lineRule="exact"/>
              <w:rPr>
                <w:rFonts w:ascii="宋体" w:hAnsi="宋体" w:cs="宋体"/>
                <w:color w:val="auto"/>
                <w:szCs w:val="21"/>
              </w:rPr>
            </w:pPr>
            <w:r>
              <w:rPr>
                <w:rFonts w:hint="eastAsia" w:ascii="宋体" w:hAnsi="宋体" w:cs="宋体"/>
                <w:color w:val="auto"/>
                <w:szCs w:val="21"/>
              </w:rPr>
              <w:t>数字贸易国际交流中心资源开发建设</w:t>
            </w: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07B98128">
            <w:pPr>
              <w:spacing w:line="400" w:lineRule="exact"/>
              <w:rPr>
                <w:rFonts w:ascii="宋体" w:hAnsi="宋体" w:cs="宋体"/>
                <w:color w:val="auto"/>
                <w:szCs w:val="21"/>
              </w:rPr>
            </w:pPr>
            <w:r>
              <w:rPr>
                <w:rFonts w:hint="eastAsia" w:ascii="宋体" w:hAnsi="宋体" w:cs="宋体"/>
                <w:color w:val="auto"/>
                <w:szCs w:val="21"/>
              </w:rPr>
              <w:t>数字贸易国际交流中心-微课视频</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3F7EF7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数字贸易国际交流中心资源定制涵盖数字贸易基础知识，包括发展趋势、政策法规和主要模式；网络营销国际策略，如各国环境分析、跨文化技巧和案例研究；直播电商国际经验，包含国外成功模式、消费者偏好和跨境运营要点；国际数字支付与金融，涉及支付方式、金融应用和风险防范；数字贸易物流与供应链，涵盖跨境物流、供应链管理和应对挑战策略；数据分析与国际市场洞察，包括市场开拓、消费者行为分析和绩效评估；知识产权与法律合规，包含保护、不同国家要求和应对纠纷策略；语言与文化交流，涉及语言应用、文化影响和沟通技巧；国际合作与竞争，包括合作机会、竞争分析和建立关系方法等教学内容进行定制化制作。</w:t>
            </w:r>
          </w:p>
          <w:p w14:paraId="28E44D6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76D907AB">
            <w:pPr>
              <w:spacing w:line="400" w:lineRule="exact"/>
              <w:rPr>
                <w:rFonts w:ascii="宋体" w:hAnsi="宋体" w:cs="宋体"/>
                <w:color w:val="auto"/>
                <w:szCs w:val="21"/>
              </w:rPr>
            </w:pPr>
          </w:p>
          <w:p w14:paraId="3900A6D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1、每个视频时长在3-5分钟。</w:t>
            </w:r>
          </w:p>
          <w:p w14:paraId="1400DE7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2、视频素材编辑，后期视频非线性编辑，统一片头片尾设计制作。</w:t>
            </w:r>
          </w:p>
          <w:p w14:paraId="40A626C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3、视频压缩格式，包含字幕的 MP4 格式，视频码流率：1024Kbps - 2500Kbps；视频分辨率：各节视频的视频分辨率必须统一，统一采用高清 16:9 拍摄，设定为 1920×1080 视频画幅宽高比。</w:t>
            </w:r>
          </w:p>
          <w:p w14:paraId="08A0563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4、拍摄设备要求</w:t>
            </w:r>
          </w:p>
          <w:p w14:paraId="4E96D8C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1）拍摄设备:现场摄像机要求使用专业级数字高清设备、品牌及型号一致，且为一线品牌。</w:t>
            </w:r>
          </w:p>
          <w:p w14:paraId="6846A75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2）音频设备：现场录制要求使用专业级音频设备，保证教师和学生发言的录音质量。</w:t>
            </w:r>
          </w:p>
          <w:p w14:paraId="3EE6239B">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3）灯光设备：专业影视摄影镝灯，LED面光灯等。</w:t>
            </w:r>
          </w:p>
          <w:p w14:paraId="3CC8DC4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4）辅助记忆设备：提供提词器。</w:t>
            </w:r>
          </w:p>
          <w:p w14:paraId="4EF40CF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5）存储设备：设备及有效容量应能保证正常完成拍摄任务。</w:t>
            </w:r>
          </w:p>
          <w:p w14:paraId="794E106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6）后期制作设备：专业的非线性编辑系统。</w:t>
            </w:r>
          </w:p>
          <w:p w14:paraId="681824B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5、视频信号源技术指标要求</w:t>
            </w:r>
          </w:p>
          <w:p w14:paraId="560222D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1）稳定性：全片图像同步性能稳定，无失步现象，CTL同步控制信号必须连续；图像无抖动跳跃，色彩无突变，编辑点处图像稳定。</w:t>
            </w:r>
          </w:p>
          <w:p w14:paraId="00F65B8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2）信噪比：图像信噪比不低于55dB，无明显杂波。</w:t>
            </w:r>
          </w:p>
          <w:p w14:paraId="06ED8D9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3）色调：白平衡正确，无明显偏色，多机拍摄的镜头衔接处无明显色差。</w:t>
            </w:r>
          </w:p>
          <w:p w14:paraId="69A2189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4）视频电平：视频全讯号幅度为1Ⅴp-p，最大不超过1.1Ⅴ p-p。其中，消隐电平为0V时，白电平幅度0.7Ⅴp-p，同步信号-0.3V，色同步信号幅度0.3V p-p (以消隐线上下对称)，全片一致。</w:t>
            </w:r>
          </w:p>
          <w:p w14:paraId="26676DBB">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6、版权说明</w:t>
            </w:r>
          </w:p>
          <w:p w14:paraId="4438DF4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1）所有素材及资源制作的版权归属学校所有。</w:t>
            </w:r>
          </w:p>
          <w:p w14:paraId="466020A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2）注意成片中所有使用的图片、音视频等素材的版权问题，规避版权风险。</w:t>
            </w:r>
          </w:p>
          <w:p w14:paraId="5B935EBB">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▲7、数字化资源内容为定制化开发内容。</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E9C9421">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0BDFF7B">
            <w:pPr>
              <w:spacing w:line="400" w:lineRule="exact"/>
              <w:jc w:val="center"/>
              <w:rPr>
                <w:rFonts w:ascii="宋体" w:hAnsi="宋体" w:cs="宋体"/>
                <w:color w:val="auto"/>
                <w:szCs w:val="21"/>
              </w:rPr>
            </w:pPr>
            <w:r>
              <w:rPr>
                <w:rFonts w:hint="eastAsia" w:ascii="宋体" w:hAnsi="宋体" w:cs="宋体"/>
                <w:color w:val="auto"/>
                <w:szCs w:val="21"/>
              </w:rPr>
              <w:t>30</w:t>
            </w:r>
          </w:p>
        </w:tc>
        <w:tc>
          <w:tcPr>
            <w:tcW w:w="273" w:type="pct"/>
            <w:tcBorders>
              <w:top w:val="single" w:color="auto" w:sz="4" w:space="0"/>
              <w:left w:val="nil"/>
              <w:bottom w:val="single" w:color="auto" w:sz="4" w:space="0"/>
              <w:right w:val="single" w:color="auto" w:sz="4" w:space="0"/>
            </w:tcBorders>
            <w:vAlign w:val="center"/>
          </w:tcPr>
          <w:p w14:paraId="049852C6">
            <w:pPr>
              <w:spacing w:line="400" w:lineRule="exact"/>
              <w:jc w:val="center"/>
              <w:rPr>
                <w:rFonts w:ascii="宋体" w:hAnsi="宋体" w:cs="宋体"/>
                <w:color w:val="auto"/>
                <w:szCs w:val="21"/>
              </w:rPr>
            </w:pPr>
            <w:r>
              <w:rPr>
                <w:rFonts w:hint="eastAsia" w:ascii="宋体" w:hAnsi="宋体" w:cs="宋体"/>
                <w:color w:val="auto"/>
                <w:szCs w:val="21"/>
              </w:rPr>
              <w:t>900</w:t>
            </w:r>
          </w:p>
        </w:tc>
      </w:tr>
      <w:tr w14:paraId="60DE3F81">
        <w:tblPrEx>
          <w:tblCellMar>
            <w:top w:w="0" w:type="dxa"/>
            <w:left w:w="0" w:type="dxa"/>
            <w:bottom w:w="0" w:type="dxa"/>
            <w:right w:w="0" w:type="dxa"/>
          </w:tblCellMar>
        </w:tblPrEx>
        <w:trPr>
          <w:trHeight w:val="567" w:hRule="atLeast"/>
        </w:trPr>
        <w:tc>
          <w:tcPr>
            <w:tcW w:w="258" w:type="pct"/>
            <w:vMerge w:val="continue"/>
            <w:tcBorders>
              <w:left w:val="single" w:color="auto" w:sz="4" w:space="0"/>
              <w:right w:val="single" w:color="auto" w:sz="4" w:space="0"/>
            </w:tcBorders>
            <w:tcMar>
              <w:top w:w="13" w:type="dxa"/>
              <w:left w:w="57" w:type="dxa"/>
              <w:bottom w:w="0" w:type="dxa"/>
              <w:right w:w="57" w:type="dxa"/>
            </w:tcMar>
            <w:vAlign w:val="center"/>
          </w:tcPr>
          <w:p w14:paraId="1B663561">
            <w:pPr>
              <w:rPr>
                <w:color w:val="auto"/>
              </w:rPr>
            </w:pPr>
          </w:p>
        </w:tc>
        <w:tc>
          <w:tcPr>
            <w:tcW w:w="371" w:type="pct"/>
            <w:gridSpan w:val="2"/>
            <w:vMerge w:val="continue"/>
            <w:tcBorders>
              <w:left w:val="nil"/>
              <w:right w:val="single" w:color="auto" w:sz="6" w:space="0"/>
            </w:tcBorders>
          </w:tcPr>
          <w:p w14:paraId="42ADBC43">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6D60624F">
            <w:pPr>
              <w:spacing w:line="400" w:lineRule="exact"/>
              <w:rPr>
                <w:rFonts w:ascii="宋体" w:hAnsi="宋体" w:cs="宋体"/>
                <w:color w:val="auto"/>
                <w:szCs w:val="21"/>
              </w:rPr>
            </w:pPr>
            <w:r>
              <w:rPr>
                <w:rFonts w:hint="eastAsia" w:ascii="宋体" w:hAnsi="宋体" w:cs="宋体"/>
                <w:color w:val="auto"/>
                <w:szCs w:val="21"/>
              </w:rPr>
              <w:t>数字贸易国际交流中心-动画资源</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2CF822B">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数字贸易国际交流中心资源定制涵盖数字贸易基础知识，包括发展趋势、政策法规和主要模式；网络营销国际策略，如各国环境分析、跨文化技巧和案例研究；直播电商国际经验，包含国外成功模式、消费者偏好和跨境运营要点；国际数字支付与金融，涉及支付方式、金融应用和风险防范；数字贸易物流与供应链，涵盖跨境物流、供应链管理和应对挑战策略；数据分析与国际市场洞察，包括市场开拓、消费者行为分析和绩效评估；知识产权与法律合规，包含保护、不同国家要求和应对纠纷策略；语言与文化交流，涉及语言应用、文化影响和沟通技巧；国际合作与竞争，包括合作机会、竞争分析和建立关系方法等教学内容进行定制化制作。</w:t>
            </w:r>
          </w:p>
          <w:p w14:paraId="62A0AD7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7E3BCAB5">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▲1、每个动画时长1-2分钟，选取重点知识点设计与制作原创动画。</w:t>
            </w:r>
          </w:p>
          <w:p w14:paraId="4DE9783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▲2、包含动画资源的整体设计、知识点或技能点的提炼、动画脚本编写、原画设计、动画制作及专业配音等。</w:t>
            </w:r>
          </w:p>
          <w:p w14:paraId="2EAF82A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▲3、动画色彩造型应和谐，画面简洁清晰，资源知识点技能点讲解清晰，画面排版及构图合理且层次性强。</w:t>
            </w:r>
          </w:p>
          <w:p w14:paraId="76266A0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4、动画设计元素静止画面时间不超过5秒钟，动画演播过程要流畅。</w:t>
            </w:r>
          </w:p>
          <w:p w14:paraId="4356451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5、角色形象需饱满、生动、个性鲜明、特点突出，符合主题风格，人物眨眼，口型等动作按照提供的主要人物设眨眼，口型模版中的节奏和形式制作，可增加口型，但要做到颜色、风格统一。</w:t>
            </w:r>
          </w:p>
          <w:p w14:paraId="66EE8D0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6、主要角色要完全按照人设规范绘制。根据相应剧本文字描述来进行设计，形象既要符合整片风格，又要符合人物性格，年龄层次等，观众能容易接受和喜爱。</w:t>
            </w:r>
          </w:p>
          <w:p w14:paraId="6B496C6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7、场景设计应与人物风格定位一致，细节展示丰富，色彩明快，清晰美观。景深感要强，透视正确、美观，色调和人物融合、一致，多角度制作，画面饱满，充实。</w:t>
            </w:r>
          </w:p>
          <w:p w14:paraId="6804707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8、保证角色人物形象和场景为设计师原创素材，不得产生产权纠纷。</w:t>
            </w:r>
          </w:p>
          <w:p w14:paraId="182F5AB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9、动画内容原始文件输出设置</w:t>
            </w:r>
          </w:p>
          <w:p w14:paraId="4845505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1）Mp4格式，h264编码、动画内容制作时帧速设置范围25帧/秒。</w:t>
            </w:r>
          </w:p>
          <w:p w14:paraId="32517D6A">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2）输出成片分辨率不低于1920*1080。图像比16:9。</w:t>
            </w:r>
          </w:p>
          <w:p w14:paraId="7CB8EAC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▲10、制作完成的作品版权归采购人所有。</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EF2CB7C">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C088D36">
            <w:pPr>
              <w:spacing w:line="400" w:lineRule="exact"/>
              <w:jc w:val="center"/>
              <w:rPr>
                <w:rFonts w:ascii="宋体" w:hAnsi="宋体" w:cs="宋体"/>
                <w:color w:val="auto"/>
                <w:szCs w:val="21"/>
              </w:rPr>
            </w:pPr>
            <w:r>
              <w:rPr>
                <w:rFonts w:hint="eastAsia" w:ascii="宋体" w:hAnsi="宋体" w:cs="宋体"/>
                <w:color w:val="auto"/>
                <w:szCs w:val="21"/>
              </w:rPr>
              <w:t>40</w:t>
            </w:r>
          </w:p>
        </w:tc>
        <w:tc>
          <w:tcPr>
            <w:tcW w:w="273" w:type="pct"/>
            <w:tcBorders>
              <w:top w:val="single" w:color="auto" w:sz="4" w:space="0"/>
              <w:left w:val="nil"/>
              <w:bottom w:val="single" w:color="auto" w:sz="4" w:space="0"/>
              <w:right w:val="single" w:color="auto" w:sz="4" w:space="0"/>
            </w:tcBorders>
            <w:vAlign w:val="center"/>
          </w:tcPr>
          <w:p w14:paraId="3F02D956">
            <w:pPr>
              <w:spacing w:line="400" w:lineRule="exact"/>
              <w:jc w:val="center"/>
              <w:rPr>
                <w:rFonts w:ascii="宋体" w:hAnsi="宋体" w:cs="宋体"/>
                <w:color w:val="auto"/>
                <w:szCs w:val="21"/>
              </w:rPr>
            </w:pPr>
            <w:r>
              <w:rPr>
                <w:rFonts w:hint="eastAsia" w:ascii="宋体" w:hAnsi="宋体" w:cs="宋体"/>
                <w:color w:val="auto"/>
                <w:szCs w:val="21"/>
              </w:rPr>
              <w:t>960</w:t>
            </w:r>
          </w:p>
        </w:tc>
      </w:tr>
      <w:tr w14:paraId="60BAED84">
        <w:tblPrEx>
          <w:tblCellMar>
            <w:top w:w="0" w:type="dxa"/>
            <w:left w:w="0" w:type="dxa"/>
            <w:bottom w:w="0" w:type="dxa"/>
            <w:right w:w="0" w:type="dxa"/>
          </w:tblCellMar>
        </w:tblPrEx>
        <w:trPr>
          <w:trHeight w:val="567" w:hRule="atLeast"/>
        </w:trPr>
        <w:tc>
          <w:tcPr>
            <w:tcW w:w="258" w:type="pct"/>
            <w:vMerge w:val="continue"/>
            <w:tcBorders>
              <w:left w:val="single" w:color="auto" w:sz="4" w:space="0"/>
              <w:right w:val="single" w:color="auto" w:sz="4" w:space="0"/>
            </w:tcBorders>
            <w:tcMar>
              <w:top w:w="13" w:type="dxa"/>
              <w:left w:w="57" w:type="dxa"/>
              <w:bottom w:w="0" w:type="dxa"/>
              <w:right w:w="57" w:type="dxa"/>
            </w:tcMar>
            <w:vAlign w:val="center"/>
          </w:tcPr>
          <w:p w14:paraId="67F45F01">
            <w:pPr>
              <w:rPr>
                <w:color w:val="auto"/>
              </w:rPr>
            </w:pPr>
          </w:p>
        </w:tc>
        <w:tc>
          <w:tcPr>
            <w:tcW w:w="371" w:type="pct"/>
            <w:gridSpan w:val="2"/>
            <w:vMerge w:val="continue"/>
            <w:tcBorders>
              <w:left w:val="nil"/>
              <w:right w:val="single" w:color="auto" w:sz="6" w:space="0"/>
            </w:tcBorders>
          </w:tcPr>
          <w:p w14:paraId="6B645FD4">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32D8EE52">
            <w:pPr>
              <w:spacing w:line="400" w:lineRule="exact"/>
              <w:rPr>
                <w:rFonts w:ascii="宋体" w:hAnsi="宋体" w:cs="宋体"/>
                <w:color w:val="auto"/>
                <w:szCs w:val="21"/>
              </w:rPr>
            </w:pPr>
            <w:r>
              <w:rPr>
                <w:rFonts w:hint="eastAsia" w:ascii="宋体" w:hAnsi="宋体" w:cs="宋体"/>
                <w:color w:val="auto"/>
                <w:szCs w:val="21"/>
              </w:rPr>
              <w:t>数字贸易国际交流中心-资源讲解视频</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7E06EB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数字贸易国际交流中心资源定制涵盖数字贸易基础知识，包括发展趋势、政策法规和主要模式；网络营销国际策略，如各国环境分析、跨文化技巧和案例研究；直播电商国际经验，包含国外成功模式、消费者偏好和跨境运营要点；国际数字支付与金融，涉及支付方式、金融应用和风险防范；数字贸易物流与供应链，涵盖跨境物流、供应链管理和应对挑战策略；数据分析与国际市场洞察，包括市场开拓、消费者行为分析和绩效评估；知识产权与法律合规，包含保护、不同国家要求和应对纠纷策略；语言与文化交流，涉及语言应用、文化影响和沟通技巧；国际合作与竞争，包括合作机会、竞争分析和建立关系方法等教学内容进行定制化制作。</w:t>
            </w:r>
          </w:p>
          <w:p w14:paraId="5D27104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0A6E1F4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▲1、确定内容及表现形式，从而进行教学资源的设计与后期制作；</w:t>
            </w:r>
          </w:p>
          <w:p w14:paraId="5636BD4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▲2、视频时长3-6分钟；画质、音质清晰，字母清晰，播放流畅。</w:t>
            </w:r>
          </w:p>
          <w:p w14:paraId="7B44DBB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▲3、视频根据资源化建设内容中提取的重难点进行筛选，围绕重难点形成视频。</w:t>
            </w:r>
          </w:p>
          <w:p w14:paraId="693AE28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4、拍摄设备要求</w:t>
            </w:r>
          </w:p>
          <w:p w14:paraId="7FD9456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1）拍摄设备:现场摄像机要求使用专业级数字高清设备、品牌及型号一致，且为一线品牌。</w:t>
            </w:r>
          </w:p>
          <w:p w14:paraId="141ABE0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2）音频设备：现场录制要求使用专业级音频设备，保证教师和学生发言的录音质量。</w:t>
            </w:r>
          </w:p>
          <w:p w14:paraId="7EA7A53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3）灯光设备：专业影视摄影镝灯，LED面光灯等。</w:t>
            </w:r>
          </w:p>
          <w:p w14:paraId="5B9E90D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4）辅助记忆设备：提供提词器。</w:t>
            </w:r>
          </w:p>
          <w:p w14:paraId="1CCE9C6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5）存储设备：设备及有效容量应能保证正常完成拍摄任务。</w:t>
            </w:r>
          </w:p>
          <w:p w14:paraId="2513575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6）后期制作设备：专业的非线性编辑系统。</w:t>
            </w:r>
          </w:p>
          <w:p w14:paraId="4646EDE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5、视频信号源技术指标要求</w:t>
            </w:r>
          </w:p>
          <w:p w14:paraId="425C4A6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1）稳定性：全片图像同步性能稳定，无失步现象，CTL同步控制信号必须连续；图像无抖动跳跃，色彩无突变，编辑点处图像稳定。</w:t>
            </w:r>
          </w:p>
          <w:p w14:paraId="727BC73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2）信噪比：图像信噪比不低于55dB，无明显杂波。</w:t>
            </w:r>
          </w:p>
          <w:p w14:paraId="279C882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3）色调：白平衡正确，无明显偏色，多机拍摄的镜头衔接处无明显色差。</w:t>
            </w:r>
          </w:p>
          <w:p w14:paraId="70FEADE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4）视频电平：视频全讯号幅度为1Ⅴp-p，最大不超过1.1Ⅴ p-p。其中，消隐电平为0V时，白电平幅度0.7Ⅴp-p，同步信号-0.3V，色同步信号幅度0.3V p-p (以消隐线上下对称)，全片一致。</w:t>
            </w:r>
          </w:p>
          <w:p w14:paraId="023AC39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6、版权说明</w:t>
            </w:r>
          </w:p>
          <w:p w14:paraId="3B967C0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1）所有素材及资源制作的版权归属学校所有。</w:t>
            </w:r>
          </w:p>
          <w:p w14:paraId="747296E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2）注意成片中所有使用的图片、音视频等素材的版权问题，规避版权风险。</w:t>
            </w:r>
          </w:p>
          <w:p w14:paraId="3FC66A6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▲7、数字化资源内容为定制化开发内容。</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B54073B">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8595DB6">
            <w:pPr>
              <w:spacing w:line="400" w:lineRule="exact"/>
              <w:jc w:val="center"/>
              <w:rPr>
                <w:rFonts w:ascii="宋体" w:hAnsi="宋体" w:cs="宋体"/>
                <w:color w:val="auto"/>
                <w:szCs w:val="21"/>
              </w:rPr>
            </w:pPr>
            <w:r>
              <w:rPr>
                <w:rFonts w:hint="eastAsia" w:ascii="宋体" w:hAnsi="宋体" w:cs="宋体"/>
                <w:color w:val="auto"/>
                <w:szCs w:val="21"/>
              </w:rPr>
              <w:t>82</w:t>
            </w:r>
          </w:p>
        </w:tc>
        <w:tc>
          <w:tcPr>
            <w:tcW w:w="273" w:type="pct"/>
            <w:tcBorders>
              <w:top w:val="single" w:color="auto" w:sz="4" w:space="0"/>
              <w:left w:val="nil"/>
              <w:bottom w:val="single" w:color="auto" w:sz="4" w:space="0"/>
              <w:right w:val="single" w:color="auto" w:sz="4" w:space="0"/>
            </w:tcBorders>
            <w:vAlign w:val="center"/>
          </w:tcPr>
          <w:p w14:paraId="235160E8">
            <w:pPr>
              <w:spacing w:line="400" w:lineRule="exact"/>
              <w:jc w:val="center"/>
              <w:rPr>
                <w:rFonts w:ascii="宋体" w:hAnsi="宋体" w:cs="宋体"/>
                <w:color w:val="auto"/>
                <w:szCs w:val="21"/>
              </w:rPr>
            </w:pPr>
            <w:r>
              <w:rPr>
                <w:rFonts w:hint="eastAsia" w:ascii="宋体" w:hAnsi="宋体" w:cs="宋体"/>
                <w:color w:val="auto"/>
                <w:szCs w:val="21"/>
              </w:rPr>
              <w:t>700</w:t>
            </w:r>
          </w:p>
        </w:tc>
      </w:tr>
      <w:tr w14:paraId="1C82F0D7">
        <w:tblPrEx>
          <w:tblCellMar>
            <w:top w:w="0" w:type="dxa"/>
            <w:left w:w="0" w:type="dxa"/>
            <w:bottom w:w="0" w:type="dxa"/>
            <w:right w:w="0" w:type="dxa"/>
          </w:tblCellMar>
        </w:tblPrEx>
        <w:trPr>
          <w:trHeight w:val="567" w:hRule="atLeast"/>
        </w:trPr>
        <w:tc>
          <w:tcPr>
            <w:tcW w:w="258" w:type="pct"/>
            <w:vMerge w:val="continue"/>
            <w:tcBorders>
              <w:left w:val="single" w:color="auto" w:sz="4" w:space="0"/>
              <w:right w:val="single" w:color="auto" w:sz="4" w:space="0"/>
            </w:tcBorders>
            <w:tcMar>
              <w:top w:w="13" w:type="dxa"/>
              <w:left w:w="57" w:type="dxa"/>
              <w:bottom w:w="0" w:type="dxa"/>
              <w:right w:w="57" w:type="dxa"/>
            </w:tcMar>
            <w:vAlign w:val="center"/>
          </w:tcPr>
          <w:p w14:paraId="0DF33515">
            <w:pPr>
              <w:rPr>
                <w:color w:val="auto"/>
              </w:rPr>
            </w:pPr>
          </w:p>
        </w:tc>
        <w:tc>
          <w:tcPr>
            <w:tcW w:w="371" w:type="pct"/>
            <w:gridSpan w:val="2"/>
            <w:vMerge w:val="continue"/>
            <w:tcBorders>
              <w:left w:val="nil"/>
              <w:right w:val="single" w:color="auto" w:sz="6" w:space="0"/>
            </w:tcBorders>
          </w:tcPr>
          <w:p w14:paraId="405CD9A0">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5FEEEC69">
            <w:pPr>
              <w:spacing w:line="400" w:lineRule="exact"/>
              <w:rPr>
                <w:rFonts w:ascii="宋体" w:hAnsi="宋体" w:cs="宋体"/>
                <w:color w:val="auto"/>
                <w:szCs w:val="21"/>
              </w:rPr>
            </w:pPr>
            <w:r>
              <w:rPr>
                <w:rFonts w:hint="eastAsia" w:ascii="宋体" w:hAnsi="宋体" w:cs="宋体"/>
                <w:color w:val="auto"/>
                <w:szCs w:val="21"/>
              </w:rPr>
              <w:t>数字贸易国际交流中心-三维仿真资源</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4E244A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数字贸易国际交流中心资源定制涵盖数字贸易基础知识，包括发展趋势、政策法规和主要模式；网络营销国际策略，如各国环境分析、跨文化技巧和案例研究；直播电商国际经验，包含国外成功模式、消费者偏好和跨境运营要点；国际数字支付与金融，涉及支付方式、金融应用和风险防范；数字贸易物流与供应链，涵盖跨境物流、供应链管理和应对挑战策略；数据分析与国际市场洞察，包括市场开拓、消费者行为分析和绩效评估；知识产权与法律合规，包含保护、不同国家要求和应对纠纷策略；语言与文化交流，涉及语言应用、文化影响和沟通技巧；国际合作与竞争，包括合作机会、竞争分析和建立关系方法等教学内容进行定制化制作。</w:t>
            </w:r>
          </w:p>
          <w:p w14:paraId="6D91A60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533A996B">
            <w:pPr>
              <w:spacing w:line="400" w:lineRule="exact"/>
              <w:rPr>
                <w:rFonts w:ascii="宋体" w:hAnsi="宋体" w:cs="宋体"/>
                <w:color w:val="auto"/>
                <w:szCs w:val="21"/>
              </w:rPr>
            </w:pPr>
          </w:p>
          <w:p w14:paraId="21878F2C">
            <w:pPr>
              <w:widowControl/>
              <w:spacing w:line="400" w:lineRule="exact"/>
              <w:rPr>
                <w:rFonts w:ascii="宋体" w:hAnsi="宋体" w:cs="宋体"/>
                <w:color w:val="auto"/>
                <w:szCs w:val="21"/>
              </w:rPr>
            </w:pPr>
            <w:r>
              <w:rPr>
                <w:rFonts w:hint="eastAsia" w:ascii="宋体" w:hAnsi="宋体" w:cs="宋体"/>
                <w:color w:val="auto"/>
                <w:szCs w:val="21"/>
              </w:rPr>
              <w:t xml:space="preserve">1、仿真资源不少于1分钟/个。 </w:t>
            </w:r>
          </w:p>
          <w:p w14:paraId="6C1E5A6B">
            <w:pPr>
              <w:widowControl/>
              <w:spacing w:line="400" w:lineRule="exact"/>
              <w:rPr>
                <w:rFonts w:ascii="宋体" w:hAnsi="宋体" w:cs="宋体"/>
                <w:color w:val="auto"/>
                <w:szCs w:val="21"/>
              </w:rPr>
            </w:pPr>
            <w:r>
              <w:rPr>
                <w:rFonts w:hint="eastAsia" w:ascii="宋体" w:hAnsi="宋体" w:cs="宋体"/>
                <w:color w:val="auto"/>
                <w:szCs w:val="21"/>
              </w:rPr>
              <w:t xml:space="preserve">2、输出格式为mp4。 </w:t>
            </w:r>
          </w:p>
          <w:p w14:paraId="1B1A3C98">
            <w:pPr>
              <w:widowControl/>
              <w:spacing w:line="400" w:lineRule="exact"/>
              <w:rPr>
                <w:rFonts w:ascii="宋体" w:hAnsi="宋体" w:cs="宋体"/>
                <w:color w:val="auto"/>
                <w:szCs w:val="21"/>
              </w:rPr>
            </w:pPr>
            <w:r>
              <w:rPr>
                <w:rFonts w:hint="eastAsia" w:ascii="宋体" w:hAnsi="宋体" w:cs="宋体"/>
                <w:color w:val="auto"/>
                <w:szCs w:val="21"/>
              </w:rPr>
              <w:t xml:space="preserve">3、要求原创，且能生动有趣具体的表现知识点。 </w:t>
            </w:r>
          </w:p>
          <w:p w14:paraId="114D4E83">
            <w:pPr>
              <w:widowControl/>
              <w:spacing w:line="400" w:lineRule="exact"/>
              <w:rPr>
                <w:rFonts w:ascii="宋体" w:hAnsi="宋体" w:cs="宋体"/>
                <w:color w:val="auto"/>
                <w:szCs w:val="21"/>
              </w:rPr>
            </w:pPr>
            <w:r>
              <w:rPr>
                <w:rFonts w:hint="eastAsia" w:ascii="宋体" w:hAnsi="宋体" w:cs="宋体"/>
                <w:color w:val="auto"/>
                <w:szCs w:val="21"/>
              </w:rPr>
              <w:t xml:space="preserve">4、使用三维动画软件制作。 </w:t>
            </w:r>
          </w:p>
          <w:p w14:paraId="128F0521">
            <w:pPr>
              <w:widowControl/>
              <w:spacing w:line="400" w:lineRule="exact"/>
              <w:rPr>
                <w:rFonts w:ascii="宋体" w:hAnsi="宋体" w:cs="宋体"/>
                <w:color w:val="auto"/>
                <w:szCs w:val="21"/>
              </w:rPr>
            </w:pPr>
            <w:r>
              <w:rPr>
                <w:rFonts w:hint="eastAsia" w:ascii="宋体" w:hAnsi="宋体" w:cs="宋体"/>
                <w:color w:val="auto"/>
                <w:szCs w:val="21"/>
              </w:rPr>
              <w:t xml:space="preserve">5、采用建模的方式，满足三维或数据可视化表达需求。 </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736F9EC">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10C5A81">
            <w:pPr>
              <w:spacing w:line="400" w:lineRule="exact"/>
              <w:jc w:val="center"/>
              <w:rPr>
                <w:rFonts w:ascii="宋体" w:hAnsi="宋体" w:cs="宋体"/>
                <w:color w:val="auto"/>
                <w:szCs w:val="21"/>
              </w:rPr>
            </w:pPr>
            <w:r>
              <w:rPr>
                <w:rFonts w:hint="eastAsia" w:ascii="宋体" w:hAnsi="宋体" w:cs="宋体"/>
                <w:color w:val="auto"/>
                <w:szCs w:val="21"/>
              </w:rPr>
              <w:t>4</w:t>
            </w:r>
          </w:p>
        </w:tc>
        <w:tc>
          <w:tcPr>
            <w:tcW w:w="273" w:type="pct"/>
            <w:tcBorders>
              <w:top w:val="single" w:color="auto" w:sz="4" w:space="0"/>
              <w:left w:val="nil"/>
              <w:bottom w:val="single" w:color="auto" w:sz="4" w:space="0"/>
              <w:right w:val="single" w:color="auto" w:sz="4" w:space="0"/>
            </w:tcBorders>
            <w:vAlign w:val="center"/>
          </w:tcPr>
          <w:p w14:paraId="38AE8326">
            <w:pPr>
              <w:spacing w:line="400" w:lineRule="exact"/>
              <w:jc w:val="center"/>
              <w:rPr>
                <w:rFonts w:ascii="宋体" w:hAnsi="宋体" w:cs="宋体"/>
                <w:color w:val="auto"/>
                <w:szCs w:val="21"/>
              </w:rPr>
            </w:pPr>
            <w:r>
              <w:rPr>
                <w:rFonts w:hint="eastAsia" w:ascii="宋体" w:hAnsi="宋体" w:cs="宋体"/>
                <w:color w:val="auto"/>
                <w:szCs w:val="21"/>
              </w:rPr>
              <w:t>1005</w:t>
            </w:r>
          </w:p>
        </w:tc>
      </w:tr>
      <w:tr w14:paraId="0B99B090">
        <w:tblPrEx>
          <w:tblCellMar>
            <w:top w:w="0" w:type="dxa"/>
            <w:left w:w="0" w:type="dxa"/>
            <w:bottom w:w="0" w:type="dxa"/>
            <w:right w:w="0" w:type="dxa"/>
          </w:tblCellMar>
        </w:tblPrEx>
        <w:trPr>
          <w:trHeight w:val="567" w:hRule="atLeast"/>
        </w:trPr>
        <w:tc>
          <w:tcPr>
            <w:tcW w:w="258" w:type="pct"/>
            <w:vMerge w:val="continue"/>
            <w:tcBorders>
              <w:left w:val="single" w:color="auto" w:sz="4" w:space="0"/>
              <w:right w:val="single" w:color="auto" w:sz="4" w:space="0"/>
            </w:tcBorders>
            <w:tcMar>
              <w:top w:w="13" w:type="dxa"/>
              <w:left w:w="57" w:type="dxa"/>
              <w:bottom w:w="0" w:type="dxa"/>
              <w:right w:w="57" w:type="dxa"/>
            </w:tcMar>
            <w:vAlign w:val="center"/>
          </w:tcPr>
          <w:p w14:paraId="56828D35">
            <w:pPr>
              <w:rPr>
                <w:color w:val="auto"/>
              </w:rPr>
            </w:pPr>
          </w:p>
        </w:tc>
        <w:tc>
          <w:tcPr>
            <w:tcW w:w="371" w:type="pct"/>
            <w:gridSpan w:val="2"/>
            <w:vMerge w:val="continue"/>
            <w:tcBorders>
              <w:left w:val="nil"/>
              <w:right w:val="single" w:color="auto" w:sz="6" w:space="0"/>
            </w:tcBorders>
          </w:tcPr>
          <w:p w14:paraId="3F0BB142">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7C37C5BC">
            <w:pPr>
              <w:spacing w:line="400" w:lineRule="exact"/>
              <w:rPr>
                <w:rFonts w:ascii="宋体" w:hAnsi="宋体" w:cs="宋体"/>
                <w:color w:val="auto"/>
                <w:szCs w:val="21"/>
              </w:rPr>
            </w:pPr>
            <w:r>
              <w:rPr>
                <w:rFonts w:hint="eastAsia" w:ascii="宋体" w:hAnsi="宋体" w:cs="宋体"/>
                <w:color w:val="auto"/>
                <w:szCs w:val="21"/>
              </w:rPr>
              <w:t>数字贸易国际交流中心-文本资源</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1FCE92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数字贸易国际交流中心资源定制涵盖数字贸易基础知识，包括发展趋势、政策法规和主要模式；网络营销国际策略，如各国环境分析、跨文化技巧和案例研究；直播电商国际经验，包含国外成功模式、消费者偏好和跨境运营要点；国际数字支付与金融，涉及支付方式、金融应用和风险防范；数字贸易物流与供应链，涵盖跨境物流、供应链管理和应对挑战策略；数据分析与国际市场洞察，包括市场开拓、消费者行为分析和绩效评估；知识产权与法律合规，包含保护、不同国家要求和应对纠纷策略；语言与文化交流，涉及语言应用、文化影响和沟通技巧；国际合作与竞争，包括合作机会、竞争分析和建立关系方法等教学内容进行定制化制作。</w:t>
            </w:r>
          </w:p>
          <w:p w14:paraId="5EE4C1D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77AD65EE">
            <w:pPr>
              <w:spacing w:line="400" w:lineRule="exact"/>
              <w:rPr>
                <w:rFonts w:ascii="宋体" w:hAnsi="宋体" w:cs="宋体"/>
                <w:color w:val="auto"/>
                <w:szCs w:val="21"/>
              </w:rPr>
            </w:pPr>
          </w:p>
          <w:p w14:paraId="3F1C983B">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1、文本资源包括格式统一，排版美观大方；内容丰富，形式多样。</w:t>
            </w:r>
          </w:p>
          <w:p w14:paraId="5A227BDA">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2、‌文本型参数具体要求‌：</w:t>
            </w:r>
          </w:p>
          <w:p w14:paraId="20BA4D2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‌text类型‌：最大长度为2^31-1个字符，存储长度为实际字符数个字节。</w:t>
            </w:r>
          </w:p>
          <w:p w14:paraId="3C2C480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‌ntext类型‌：最大长度为2^30-1个Unicode字符，存储长度是实际字符个数的两倍。</w:t>
            </w:r>
          </w:p>
          <w:p w14:paraId="12073DE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3、‌字体相关参数‌：</w:t>
            </w:r>
          </w:p>
          <w:p w14:paraId="592ECC7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‌字体分类‌：主要分为有衬线字与无衬线字，两者风格迥异，各有特色。</w:t>
            </w:r>
          </w:p>
          <w:p w14:paraId="56BDE6F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‌字号‌：指字符的大小，通常正文内容使用18号字，且需保持一致性。</w:t>
            </w:r>
          </w:p>
          <w:p w14:paraId="61F4CD4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‌字重‌：指字体的粗细程度，字重越重越显得大气、雄壮，字重越轻越显得精致、秀气。</w:t>
            </w:r>
          </w:p>
          <w:p w14:paraId="2621065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‌字距‌：指字符之间的间距，合适的字距能增强文字的呼吸感，带来最优的阅读体验。</w:t>
            </w:r>
          </w:p>
          <w:p w14:paraId="63B23BFB">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‌行距‌：指每行之间的间距，合适的行距能使得画面排版更美观，提升阅读体验感。</w:t>
            </w:r>
          </w:p>
          <w:p w14:paraId="0043A7B7">
            <w:pPr>
              <w:spacing w:line="400" w:lineRule="exact"/>
              <w:rPr>
                <w:rFonts w:ascii="宋体" w:hAnsi="宋体" w:cs="宋体"/>
                <w:color w:val="auto"/>
                <w:szCs w:val="21"/>
              </w:rPr>
            </w:pP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1ABDE24">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9EB2F24">
            <w:pPr>
              <w:spacing w:line="400" w:lineRule="exact"/>
              <w:jc w:val="center"/>
              <w:rPr>
                <w:rFonts w:ascii="宋体" w:hAnsi="宋体" w:cs="宋体"/>
                <w:color w:val="auto"/>
                <w:szCs w:val="21"/>
              </w:rPr>
            </w:pPr>
            <w:r>
              <w:rPr>
                <w:rFonts w:hint="eastAsia" w:ascii="宋体" w:hAnsi="宋体" w:cs="宋体"/>
                <w:color w:val="auto"/>
                <w:szCs w:val="21"/>
              </w:rPr>
              <w:t>80</w:t>
            </w:r>
          </w:p>
        </w:tc>
        <w:tc>
          <w:tcPr>
            <w:tcW w:w="273" w:type="pct"/>
            <w:tcBorders>
              <w:top w:val="single" w:color="auto" w:sz="4" w:space="0"/>
              <w:left w:val="nil"/>
              <w:bottom w:val="single" w:color="auto" w:sz="4" w:space="0"/>
              <w:right w:val="single" w:color="auto" w:sz="4" w:space="0"/>
            </w:tcBorders>
            <w:vAlign w:val="center"/>
          </w:tcPr>
          <w:p w14:paraId="5D05F6B7">
            <w:pPr>
              <w:spacing w:line="400" w:lineRule="exact"/>
              <w:jc w:val="center"/>
              <w:rPr>
                <w:rFonts w:ascii="宋体" w:hAnsi="宋体" w:cs="宋体"/>
                <w:color w:val="auto"/>
                <w:szCs w:val="21"/>
              </w:rPr>
            </w:pPr>
            <w:r>
              <w:rPr>
                <w:rFonts w:hint="eastAsia" w:ascii="宋体" w:hAnsi="宋体" w:cs="宋体"/>
                <w:color w:val="auto"/>
                <w:szCs w:val="21"/>
              </w:rPr>
              <w:t>2</w:t>
            </w:r>
          </w:p>
        </w:tc>
      </w:tr>
      <w:tr w14:paraId="6E4F28DA">
        <w:tblPrEx>
          <w:tblCellMar>
            <w:top w:w="0" w:type="dxa"/>
            <w:left w:w="0" w:type="dxa"/>
            <w:bottom w:w="0" w:type="dxa"/>
            <w:right w:w="0" w:type="dxa"/>
          </w:tblCellMar>
        </w:tblPrEx>
        <w:trPr>
          <w:trHeight w:val="567" w:hRule="atLeast"/>
        </w:trPr>
        <w:tc>
          <w:tcPr>
            <w:tcW w:w="258" w:type="pct"/>
            <w:vMerge w:val="continue"/>
            <w:tcBorders>
              <w:left w:val="single" w:color="auto" w:sz="4" w:space="0"/>
              <w:bottom w:val="single" w:color="auto" w:sz="4" w:space="0"/>
              <w:right w:val="single" w:color="auto" w:sz="4" w:space="0"/>
            </w:tcBorders>
            <w:tcMar>
              <w:top w:w="13" w:type="dxa"/>
              <w:left w:w="57" w:type="dxa"/>
              <w:bottom w:w="0" w:type="dxa"/>
              <w:right w:w="57" w:type="dxa"/>
            </w:tcMar>
            <w:vAlign w:val="center"/>
          </w:tcPr>
          <w:p w14:paraId="2A11FAD2">
            <w:pPr>
              <w:rPr>
                <w:color w:val="auto"/>
              </w:rPr>
            </w:pPr>
          </w:p>
        </w:tc>
        <w:tc>
          <w:tcPr>
            <w:tcW w:w="371" w:type="pct"/>
            <w:gridSpan w:val="2"/>
            <w:vMerge w:val="continue"/>
            <w:tcBorders>
              <w:left w:val="nil"/>
              <w:bottom w:val="single" w:color="auto" w:sz="6" w:space="0"/>
              <w:right w:val="single" w:color="auto" w:sz="6" w:space="0"/>
            </w:tcBorders>
          </w:tcPr>
          <w:p w14:paraId="3825B5AC">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020F9059">
            <w:pPr>
              <w:spacing w:line="400" w:lineRule="exact"/>
              <w:rPr>
                <w:rFonts w:ascii="宋体" w:hAnsi="宋体" w:cs="宋体"/>
                <w:color w:val="auto"/>
                <w:szCs w:val="21"/>
              </w:rPr>
            </w:pPr>
            <w:r>
              <w:rPr>
                <w:rFonts w:hint="eastAsia" w:ascii="宋体" w:hAnsi="宋体" w:cs="宋体"/>
                <w:color w:val="auto"/>
                <w:szCs w:val="21"/>
              </w:rPr>
              <w:t>数字贸易国际交流中心-音频资源</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E45662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数字贸易国际交流中心资源定制涵盖数字贸易基础知识，包括发展趋势、政策法规和主要模式；网络营销国际策略，如各国环境分析、跨文化技巧和案例研究；直播电商国际经验，包含国外成功模式、消费者偏好和跨境运营要点；国际数字支付与金融，涉及支付方式、金融应用和风险防范；数字贸易物流与供应链，涵盖跨境物流、供应链管理和应对挑战策略；数据分析与国际市场洞察，包括市场开拓、消费者行为分析和绩效评估；知识产权与法律合规，包含保护、不同国家要求和应对纠纷策略；语言与文化交流，涉及语言应用、文化影响和沟通技巧；国际合作与竞争，包括合作机会、竞争分析和建立关系方法等教学内容进行定制化制作。</w:t>
            </w:r>
          </w:p>
          <w:p w14:paraId="4998F9A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06207482">
            <w:pPr>
              <w:spacing w:line="400" w:lineRule="exact"/>
              <w:rPr>
                <w:rFonts w:ascii="宋体" w:hAnsi="宋体" w:cs="宋体"/>
                <w:color w:val="auto"/>
                <w:szCs w:val="21"/>
              </w:rPr>
            </w:pPr>
          </w:p>
          <w:p w14:paraId="6354A35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1、输出格式为MP3。</w:t>
            </w:r>
          </w:p>
          <w:p w14:paraId="6A7C5C3A">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2、音频时长为3-5分钟。</w:t>
            </w:r>
          </w:p>
          <w:p w14:paraId="4465B72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3、语音采用标准的普通话、美式或英式英语配音，特殊语言学习和材料除外，使用适合教学的语调。</w:t>
            </w:r>
          </w:p>
          <w:p w14:paraId="44AD152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4、音频信号源技术指标要求</w:t>
            </w:r>
          </w:p>
          <w:p w14:paraId="78FEE52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1）声道：中文内容音频信号记录于第1声道，音乐、音效、同期声记录于第2声道，若有其他文字解说记录于第3声道（如录音设备无第3声道，则录于第2声道）。</w:t>
            </w:r>
          </w:p>
          <w:p w14:paraId="238D0D7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2）电平指标：-2db — -8db声音应无明显失真、放音过冲、过弱。</w:t>
            </w:r>
          </w:p>
          <w:p w14:paraId="08197BA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3）音频信噪比不低于48db。</w:t>
            </w:r>
          </w:p>
          <w:p w14:paraId="74A7DB8C">
            <w:pPr>
              <w:spacing w:line="400" w:lineRule="exact"/>
              <w:rPr>
                <w:rFonts w:ascii="宋体" w:hAnsi="宋体" w:cs="宋体"/>
                <w:color w:val="auto"/>
                <w:szCs w:val="21"/>
              </w:rPr>
            </w:pPr>
            <w:r>
              <w:rPr>
                <w:rFonts w:hint="eastAsia" w:ascii="宋体" w:hAnsi="宋体" w:cs="宋体"/>
                <w:color w:val="auto"/>
                <w:szCs w:val="21"/>
              </w:rPr>
              <w:t>声音和画面要求同步，无交流声或其他杂音等缺陷。伴音清晰、饱满、圆润，无失真、噪声杂音干扰、音量忽大忽小现象。解说声与现场声无明显比例失调，解说声与背景音乐无明显比例失调。</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BD8539A">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CB2A270">
            <w:pPr>
              <w:spacing w:line="400" w:lineRule="exact"/>
              <w:jc w:val="center"/>
              <w:rPr>
                <w:rFonts w:ascii="宋体" w:hAnsi="宋体" w:cs="宋体"/>
                <w:color w:val="auto"/>
                <w:szCs w:val="21"/>
              </w:rPr>
            </w:pPr>
            <w:r>
              <w:rPr>
                <w:rFonts w:hint="eastAsia" w:ascii="宋体" w:hAnsi="宋体" w:cs="宋体"/>
                <w:color w:val="auto"/>
                <w:szCs w:val="21"/>
              </w:rPr>
              <w:t>120</w:t>
            </w:r>
          </w:p>
        </w:tc>
        <w:tc>
          <w:tcPr>
            <w:tcW w:w="273" w:type="pct"/>
            <w:tcBorders>
              <w:top w:val="single" w:color="auto" w:sz="4" w:space="0"/>
              <w:left w:val="nil"/>
              <w:bottom w:val="single" w:color="auto" w:sz="4" w:space="0"/>
              <w:right w:val="single" w:color="auto" w:sz="4" w:space="0"/>
            </w:tcBorders>
            <w:vAlign w:val="center"/>
          </w:tcPr>
          <w:p w14:paraId="564D8E43">
            <w:pPr>
              <w:spacing w:line="400" w:lineRule="exact"/>
              <w:jc w:val="center"/>
              <w:rPr>
                <w:rFonts w:ascii="宋体" w:hAnsi="宋体" w:cs="宋体"/>
                <w:color w:val="auto"/>
                <w:szCs w:val="21"/>
              </w:rPr>
            </w:pPr>
            <w:r>
              <w:rPr>
                <w:rFonts w:hint="eastAsia" w:ascii="宋体" w:hAnsi="宋体" w:cs="宋体"/>
                <w:color w:val="auto"/>
                <w:szCs w:val="21"/>
              </w:rPr>
              <w:t>2</w:t>
            </w:r>
          </w:p>
        </w:tc>
      </w:tr>
      <w:tr w14:paraId="23DFEB04">
        <w:tblPrEx>
          <w:tblCellMar>
            <w:top w:w="0" w:type="dxa"/>
            <w:left w:w="0" w:type="dxa"/>
            <w:bottom w:w="0" w:type="dxa"/>
            <w:right w:w="0" w:type="dxa"/>
          </w:tblCellMar>
        </w:tblPrEx>
        <w:trPr>
          <w:trHeight w:val="567" w:hRule="atLeast"/>
        </w:trPr>
        <w:tc>
          <w:tcPr>
            <w:tcW w:w="4001" w:type="pct"/>
            <w:gridSpan w:val="5"/>
            <w:tcBorders>
              <w:top w:val="single" w:color="auto" w:sz="4" w:space="0"/>
              <w:left w:val="single" w:color="auto" w:sz="4" w:space="0"/>
              <w:right w:val="single" w:color="auto" w:sz="4" w:space="0"/>
            </w:tcBorders>
            <w:tcMar>
              <w:top w:w="13" w:type="dxa"/>
              <w:left w:w="57" w:type="dxa"/>
              <w:bottom w:w="0" w:type="dxa"/>
              <w:right w:w="57" w:type="dxa"/>
            </w:tcMar>
            <w:vAlign w:val="center"/>
          </w:tcPr>
          <w:p w14:paraId="7795FC1D">
            <w:pPr>
              <w:spacing w:line="400" w:lineRule="exact"/>
              <w:rPr>
                <w:rFonts w:ascii="宋体" w:hAnsi="宋体" w:cs="宋体"/>
                <w:b/>
                <w:color w:val="auto"/>
                <w:szCs w:val="21"/>
              </w:rPr>
            </w:pPr>
            <w:r>
              <w:rPr>
                <w:rFonts w:hint="eastAsia" w:ascii="宋体" w:hAnsi="宋体" w:cs="宋体"/>
                <w:b/>
                <w:color w:val="auto"/>
                <w:szCs w:val="21"/>
              </w:rPr>
              <w:t>小计：127220</w:t>
            </w:r>
          </w:p>
        </w:tc>
        <w:tc>
          <w:tcPr>
            <w:tcW w:w="999" w:type="pct"/>
            <w:gridSpan w:val="3"/>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9D935FC">
            <w:pPr>
              <w:spacing w:line="400" w:lineRule="exact"/>
              <w:rPr>
                <w:rFonts w:ascii="宋体" w:hAnsi="宋体" w:cs="宋体"/>
                <w:color w:val="auto"/>
                <w:szCs w:val="21"/>
              </w:rPr>
            </w:pPr>
          </w:p>
        </w:tc>
      </w:tr>
      <w:tr w14:paraId="6811D70D">
        <w:tblPrEx>
          <w:tblCellMar>
            <w:top w:w="0" w:type="dxa"/>
            <w:left w:w="0" w:type="dxa"/>
            <w:bottom w:w="0" w:type="dxa"/>
            <w:right w:w="0" w:type="dxa"/>
          </w:tblCellMar>
        </w:tblPrEx>
        <w:trPr>
          <w:trHeight w:val="567" w:hRule="atLeast"/>
        </w:trPr>
        <w:tc>
          <w:tcPr>
            <w:tcW w:w="258" w:type="pct"/>
            <w:vMerge w:val="restart"/>
            <w:tcBorders>
              <w:top w:val="single" w:color="auto" w:sz="4" w:space="0"/>
              <w:left w:val="single" w:color="auto" w:sz="4" w:space="0"/>
              <w:right w:val="single" w:color="auto" w:sz="4" w:space="0"/>
            </w:tcBorders>
            <w:tcMar>
              <w:top w:w="13" w:type="dxa"/>
              <w:left w:w="57" w:type="dxa"/>
              <w:bottom w:w="0" w:type="dxa"/>
              <w:right w:w="57" w:type="dxa"/>
            </w:tcMar>
            <w:vAlign w:val="center"/>
          </w:tcPr>
          <w:p w14:paraId="0D25E5FB">
            <w:pPr>
              <w:rPr>
                <w:color w:val="auto"/>
              </w:rPr>
            </w:pPr>
          </w:p>
          <w:p w14:paraId="19646529">
            <w:pPr>
              <w:rPr>
                <w:color w:val="auto"/>
              </w:rPr>
            </w:pPr>
            <w:r>
              <w:rPr>
                <w:rFonts w:hint="eastAsia"/>
                <w:color w:val="auto"/>
              </w:rPr>
              <w:t>3</w:t>
            </w:r>
          </w:p>
        </w:tc>
        <w:tc>
          <w:tcPr>
            <w:tcW w:w="371" w:type="pct"/>
            <w:gridSpan w:val="2"/>
            <w:vMerge w:val="restart"/>
            <w:tcBorders>
              <w:top w:val="single" w:color="auto" w:sz="6" w:space="0"/>
              <w:left w:val="nil"/>
              <w:right w:val="single" w:color="auto" w:sz="6" w:space="0"/>
            </w:tcBorders>
          </w:tcPr>
          <w:p w14:paraId="3A71D17A">
            <w:pPr>
              <w:spacing w:line="400" w:lineRule="exact"/>
              <w:rPr>
                <w:rFonts w:ascii="宋体" w:hAnsi="宋体" w:cs="宋体"/>
                <w:color w:val="auto"/>
                <w:szCs w:val="21"/>
              </w:rPr>
            </w:pPr>
          </w:p>
          <w:p w14:paraId="275BC510">
            <w:pPr>
              <w:spacing w:line="400" w:lineRule="exact"/>
              <w:rPr>
                <w:rFonts w:ascii="宋体" w:hAnsi="宋体" w:cs="宋体"/>
                <w:color w:val="auto"/>
                <w:szCs w:val="21"/>
              </w:rPr>
            </w:pPr>
          </w:p>
          <w:p w14:paraId="67BC854A">
            <w:pPr>
              <w:spacing w:line="400" w:lineRule="exact"/>
              <w:rPr>
                <w:rFonts w:ascii="宋体" w:hAnsi="宋体" w:cs="宋体"/>
                <w:color w:val="auto"/>
                <w:szCs w:val="21"/>
              </w:rPr>
            </w:pPr>
          </w:p>
          <w:p w14:paraId="4BFA765C">
            <w:pPr>
              <w:spacing w:line="400" w:lineRule="exact"/>
              <w:rPr>
                <w:rFonts w:ascii="宋体" w:hAnsi="宋体" w:cs="宋体"/>
                <w:color w:val="auto"/>
                <w:szCs w:val="21"/>
              </w:rPr>
            </w:pPr>
          </w:p>
          <w:p w14:paraId="5496B835">
            <w:pPr>
              <w:spacing w:line="400" w:lineRule="exact"/>
              <w:rPr>
                <w:rFonts w:ascii="宋体" w:hAnsi="宋体" w:cs="宋体"/>
                <w:color w:val="auto"/>
                <w:szCs w:val="21"/>
              </w:rPr>
            </w:pPr>
          </w:p>
          <w:p w14:paraId="4415F175">
            <w:pPr>
              <w:spacing w:line="400" w:lineRule="exact"/>
              <w:rPr>
                <w:rFonts w:ascii="宋体" w:hAnsi="宋体" w:cs="宋体"/>
                <w:color w:val="auto"/>
                <w:szCs w:val="21"/>
              </w:rPr>
            </w:pPr>
          </w:p>
          <w:p w14:paraId="27A4101E">
            <w:pPr>
              <w:spacing w:line="400" w:lineRule="exact"/>
              <w:rPr>
                <w:rFonts w:ascii="宋体" w:hAnsi="宋体" w:cs="宋体"/>
                <w:color w:val="auto"/>
                <w:szCs w:val="21"/>
              </w:rPr>
            </w:pPr>
          </w:p>
          <w:p w14:paraId="6C74E74F">
            <w:pPr>
              <w:spacing w:line="400" w:lineRule="exact"/>
              <w:rPr>
                <w:rFonts w:ascii="宋体" w:hAnsi="宋体" w:cs="宋体"/>
                <w:color w:val="auto"/>
                <w:szCs w:val="21"/>
              </w:rPr>
            </w:pPr>
          </w:p>
          <w:p w14:paraId="27EF864F">
            <w:pPr>
              <w:spacing w:line="400" w:lineRule="exact"/>
              <w:rPr>
                <w:rFonts w:ascii="宋体" w:hAnsi="宋体" w:cs="宋体"/>
                <w:color w:val="auto"/>
                <w:szCs w:val="21"/>
              </w:rPr>
            </w:pPr>
          </w:p>
          <w:p w14:paraId="5225C336">
            <w:pPr>
              <w:spacing w:line="400" w:lineRule="exact"/>
              <w:rPr>
                <w:rFonts w:ascii="宋体" w:hAnsi="宋体" w:cs="宋体"/>
                <w:color w:val="auto"/>
                <w:szCs w:val="21"/>
              </w:rPr>
            </w:pPr>
          </w:p>
          <w:p w14:paraId="05206276">
            <w:pPr>
              <w:spacing w:line="400" w:lineRule="exact"/>
              <w:rPr>
                <w:rFonts w:ascii="宋体" w:hAnsi="宋体" w:cs="宋体"/>
                <w:color w:val="auto"/>
                <w:szCs w:val="21"/>
              </w:rPr>
            </w:pPr>
          </w:p>
          <w:p w14:paraId="017D5CAA">
            <w:pPr>
              <w:spacing w:line="400" w:lineRule="exact"/>
              <w:rPr>
                <w:rFonts w:ascii="宋体" w:hAnsi="宋体" w:cs="宋体"/>
                <w:color w:val="auto"/>
                <w:szCs w:val="21"/>
              </w:rPr>
            </w:pPr>
          </w:p>
          <w:p w14:paraId="15F1060C">
            <w:pPr>
              <w:spacing w:line="400" w:lineRule="exact"/>
              <w:rPr>
                <w:rFonts w:ascii="宋体" w:hAnsi="宋体" w:cs="宋体"/>
                <w:color w:val="auto"/>
                <w:szCs w:val="21"/>
              </w:rPr>
            </w:pPr>
          </w:p>
          <w:p w14:paraId="0F8CEF38">
            <w:pPr>
              <w:spacing w:line="400" w:lineRule="exact"/>
              <w:rPr>
                <w:rFonts w:ascii="宋体" w:hAnsi="宋体" w:cs="宋体"/>
                <w:color w:val="auto"/>
                <w:szCs w:val="21"/>
              </w:rPr>
            </w:pPr>
          </w:p>
          <w:p w14:paraId="145EF889">
            <w:pPr>
              <w:spacing w:line="400" w:lineRule="exact"/>
              <w:rPr>
                <w:rFonts w:ascii="宋体" w:hAnsi="宋体" w:cs="宋体"/>
                <w:color w:val="auto"/>
                <w:szCs w:val="21"/>
              </w:rPr>
            </w:pPr>
            <w:r>
              <w:rPr>
                <w:rFonts w:hint="eastAsia" w:ascii="宋体" w:hAnsi="宋体" w:cs="宋体"/>
                <w:color w:val="auto"/>
                <w:szCs w:val="21"/>
              </w:rPr>
              <w:t>电商谷虚拟仿真研学基地资源开发建设</w:t>
            </w: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13EFBC9D">
            <w:pPr>
              <w:spacing w:line="400" w:lineRule="exact"/>
              <w:rPr>
                <w:rFonts w:ascii="宋体" w:hAnsi="宋体" w:cs="宋体"/>
                <w:color w:val="auto"/>
                <w:szCs w:val="21"/>
              </w:rPr>
            </w:pPr>
            <w:r>
              <w:rPr>
                <w:rFonts w:hint="eastAsia" w:ascii="宋体" w:hAnsi="宋体" w:cs="宋体"/>
                <w:color w:val="auto"/>
                <w:szCs w:val="21"/>
              </w:rPr>
              <w:t>电商谷虚拟仿真研学基地-微课视频</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AC0526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电商谷虚拟仿真研学基地资源定制涵盖电商电商运营、网络营销、直播电商的，商品管理、营销活动、直播技巧等方面以及客户服务与关系管理、数据分析与决策、供应链管理模拟的相关内容，涉及客户处理、数据采集分析、供应商合作等。此外，包含创新与创业项目、行业案例研究以及团队协作与沟通的训练，如商业模式探讨、案例分析、团队合作，及东南亚文化培养、商业礼仪、数据分析、法律法规、物流分销策略等内容定制。</w:t>
            </w:r>
          </w:p>
          <w:p w14:paraId="6CE8A795">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2EA9BCA0">
            <w:pPr>
              <w:spacing w:line="400" w:lineRule="exact"/>
              <w:rPr>
                <w:rFonts w:ascii="宋体" w:hAnsi="宋体" w:cs="宋体"/>
                <w:color w:val="auto"/>
                <w:szCs w:val="21"/>
              </w:rPr>
            </w:pPr>
          </w:p>
          <w:p w14:paraId="71A365C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1、每个视频时长在3-5分钟。</w:t>
            </w:r>
          </w:p>
          <w:p w14:paraId="209C288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2、视频素材编辑，后期视频非线性编辑，统一片头片尾设计制作。</w:t>
            </w:r>
          </w:p>
          <w:p w14:paraId="03401FB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3、视频压缩格式，包含字幕的 MP4 格式，视频码流率：1024Kbps - 2500Kbps；视频分辨率：各节视频的视频分辨率必须统一，统一采用高清 16:9 拍摄，设定为 1920×1080 视频画幅宽高比。</w:t>
            </w:r>
          </w:p>
          <w:p w14:paraId="03491D1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4、拍摄设备要求</w:t>
            </w:r>
          </w:p>
          <w:p w14:paraId="1E7A052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1）拍摄设备:现场摄像机要求使用专业级数字高清设备、品牌及型号一致，且为一线品牌。</w:t>
            </w:r>
          </w:p>
          <w:p w14:paraId="3B6F6BC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2）音频设备：现场录制要求使用专业级音频设备，保证教师和学生发言的录音质量。</w:t>
            </w:r>
          </w:p>
          <w:p w14:paraId="3F21BDC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3）灯光设备：专业影视摄影镝灯，LED面光灯等。</w:t>
            </w:r>
          </w:p>
          <w:p w14:paraId="6878E7D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4）辅助记忆设备：提供提词器。</w:t>
            </w:r>
          </w:p>
          <w:p w14:paraId="3566456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5）存储设备：设备及有效容量应能保证正常完成拍摄任务。</w:t>
            </w:r>
          </w:p>
          <w:p w14:paraId="17B5ADB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6）后期制作设备：专业的非线性编辑系统。</w:t>
            </w:r>
          </w:p>
          <w:p w14:paraId="3A9A765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5、视频信号源技术指标要求</w:t>
            </w:r>
          </w:p>
          <w:p w14:paraId="77CE760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1）稳定性：全片图像同步性能稳定，无失步现象，CTL同步控制信号必须连续；图像无抖动跳跃，色彩无突变，编辑点处图像稳定。</w:t>
            </w:r>
          </w:p>
          <w:p w14:paraId="79CD406A">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2）信噪比：图像信噪比不低于55dB，无明显杂波。</w:t>
            </w:r>
          </w:p>
          <w:p w14:paraId="097F705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3）色调：白平衡正确，无明显偏色，多机拍摄的镜头衔接处无明显色差。</w:t>
            </w:r>
          </w:p>
          <w:p w14:paraId="775B051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4）视频电平：视频全讯号幅度为1Ⅴp-p，最大不超过1.1Ⅴ p-p。其中，消隐电平为0V时，白电平幅度0.7Ⅴp-p，同步信号-0.3V，色同步信号幅度0.3V p-p (以消隐线上下对称)，全片一致。</w:t>
            </w:r>
          </w:p>
          <w:p w14:paraId="114E67A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6、版权说明</w:t>
            </w:r>
          </w:p>
          <w:p w14:paraId="70DAA87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1）所有素材及资源制作的版权归属学校所有。</w:t>
            </w:r>
          </w:p>
          <w:p w14:paraId="6459D8A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2）注意成片中所有使用的图片、音视频等素材的版权问题，规避版权风险。</w:t>
            </w:r>
          </w:p>
          <w:p w14:paraId="36D735CA">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▲7、数字化资源内容为定制化开发内容。</w:t>
            </w:r>
          </w:p>
          <w:p w14:paraId="0C1EFBB1">
            <w:pPr>
              <w:spacing w:line="400" w:lineRule="exact"/>
              <w:rPr>
                <w:rFonts w:ascii="宋体" w:hAnsi="宋体" w:cs="宋体"/>
                <w:color w:val="auto"/>
                <w:szCs w:val="21"/>
              </w:rPr>
            </w:pP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D28FD8D">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E263690">
            <w:pPr>
              <w:spacing w:line="400" w:lineRule="exact"/>
              <w:jc w:val="center"/>
              <w:rPr>
                <w:rFonts w:ascii="宋体" w:hAnsi="宋体" w:cs="宋体"/>
                <w:color w:val="auto"/>
                <w:szCs w:val="21"/>
              </w:rPr>
            </w:pPr>
            <w:r>
              <w:rPr>
                <w:rFonts w:hint="eastAsia" w:ascii="宋体" w:hAnsi="宋体" w:cs="宋体"/>
                <w:color w:val="auto"/>
                <w:szCs w:val="21"/>
              </w:rPr>
              <w:t>30</w:t>
            </w:r>
          </w:p>
        </w:tc>
        <w:tc>
          <w:tcPr>
            <w:tcW w:w="273" w:type="pct"/>
            <w:tcBorders>
              <w:top w:val="single" w:color="auto" w:sz="4" w:space="0"/>
              <w:left w:val="nil"/>
              <w:bottom w:val="single" w:color="auto" w:sz="4" w:space="0"/>
              <w:right w:val="single" w:color="auto" w:sz="4" w:space="0"/>
            </w:tcBorders>
            <w:vAlign w:val="center"/>
          </w:tcPr>
          <w:p w14:paraId="4EAFB38B">
            <w:pPr>
              <w:spacing w:line="400" w:lineRule="exact"/>
              <w:jc w:val="center"/>
              <w:rPr>
                <w:rFonts w:ascii="宋体" w:hAnsi="宋体" w:cs="宋体"/>
                <w:color w:val="auto"/>
                <w:szCs w:val="21"/>
              </w:rPr>
            </w:pPr>
            <w:r>
              <w:rPr>
                <w:rFonts w:hint="eastAsia" w:ascii="宋体" w:hAnsi="宋体" w:cs="宋体"/>
                <w:color w:val="auto"/>
                <w:szCs w:val="21"/>
              </w:rPr>
              <w:t>1000</w:t>
            </w:r>
          </w:p>
        </w:tc>
      </w:tr>
      <w:tr w14:paraId="484433B0">
        <w:tblPrEx>
          <w:tblCellMar>
            <w:top w:w="0" w:type="dxa"/>
            <w:left w:w="0" w:type="dxa"/>
            <w:bottom w:w="0" w:type="dxa"/>
            <w:right w:w="0" w:type="dxa"/>
          </w:tblCellMar>
        </w:tblPrEx>
        <w:trPr>
          <w:trHeight w:val="567" w:hRule="atLeast"/>
        </w:trPr>
        <w:tc>
          <w:tcPr>
            <w:tcW w:w="258" w:type="pct"/>
            <w:vMerge w:val="continue"/>
            <w:tcBorders>
              <w:left w:val="single" w:color="auto" w:sz="4" w:space="0"/>
              <w:right w:val="single" w:color="auto" w:sz="4" w:space="0"/>
            </w:tcBorders>
            <w:tcMar>
              <w:top w:w="13" w:type="dxa"/>
              <w:left w:w="57" w:type="dxa"/>
              <w:bottom w:w="0" w:type="dxa"/>
              <w:right w:w="57" w:type="dxa"/>
            </w:tcMar>
            <w:vAlign w:val="center"/>
          </w:tcPr>
          <w:p w14:paraId="74FFA85A">
            <w:pPr>
              <w:rPr>
                <w:color w:val="auto"/>
              </w:rPr>
            </w:pPr>
          </w:p>
        </w:tc>
        <w:tc>
          <w:tcPr>
            <w:tcW w:w="371" w:type="pct"/>
            <w:gridSpan w:val="2"/>
            <w:vMerge w:val="continue"/>
            <w:tcBorders>
              <w:left w:val="nil"/>
              <w:right w:val="single" w:color="auto" w:sz="6" w:space="0"/>
            </w:tcBorders>
          </w:tcPr>
          <w:p w14:paraId="27E383A7">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36CA58CA">
            <w:pPr>
              <w:spacing w:line="400" w:lineRule="exact"/>
              <w:rPr>
                <w:rFonts w:ascii="宋体" w:hAnsi="宋体" w:cs="宋体"/>
                <w:color w:val="auto"/>
                <w:szCs w:val="21"/>
              </w:rPr>
            </w:pPr>
            <w:r>
              <w:rPr>
                <w:rFonts w:hint="eastAsia" w:ascii="宋体" w:hAnsi="宋体" w:cs="宋体"/>
                <w:color w:val="auto"/>
                <w:szCs w:val="21"/>
              </w:rPr>
              <w:t>电商谷虚拟仿真研学基地-动画资源</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bottom"/>
          </w:tcPr>
          <w:p w14:paraId="4CBD540B">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电商谷虚拟仿真研学基地资源定制涵盖电商电商运营、网络营销、直播电商的，商品管理、营销活动、直播技巧等方面以及客户服务与关系管理、数据分析与决策、供应链管理模拟的相关内容，涉及客户处理、数据采集分析、供应商合作等。此外，包含创新与创业项目、行业案例研究以及团队协作与沟通的训练，如商业模式探讨、案例分析、团队合作，及东南亚文化培养、商业礼仪、数据分析、法律法规、物流分销策略等内容定制。</w:t>
            </w:r>
          </w:p>
          <w:p w14:paraId="60A5092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53DFAB8A">
            <w:pPr>
              <w:spacing w:line="400" w:lineRule="exact"/>
              <w:rPr>
                <w:rFonts w:ascii="宋体" w:hAnsi="宋体" w:cs="宋体"/>
                <w:color w:val="auto"/>
                <w:szCs w:val="21"/>
              </w:rPr>
            </w:pPr>
          </w:p>
          <w:p w14:paraId="6EC691F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▲1、每个动画时长1-2分钟，选取重点知识点设计与制作原创动画。</w:t>
            </w:r>
          </w:p>
          <w:p w14:paraId="70B8970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▲2、包含动画资源的整体设计、知识点或技能点的提炼、动画脚本编写、原画设计、动画制作及专业配音等。</w:t>
            </w:r>
          </w:p>
          <w:p w14:paraId="415BD5E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▲3、动画色彩造型应和谐，画面简洁清晰，资源知识点技能点讲解清晰，画面排版及构图合理且层次性强。</w:t>
            </w:r>
          </w:p>
          <w:p w14:paraId="3A1BCCD5">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4、动画设计元素静止画面时间不超过5秒钟，动画演播过程要流畅。</w:t>
            </w:r>
          </w:p>
          <w:p w14:paraId="224F743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5、角色形象需饱满、生动、个性鲜明、特点突出，符合主题风格，人物眨眼，口型等动作按照提供的主要人物设眨眼，口型模版中的节奏和形式制作，可增加口型，但要做到颜色、风格统一。</w:t>
            </w:r>
          </w:p>
          <w:p w14:paraId="55E8419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6、主要角色要完全按照人设规范绘制。根据相应剧本文字描述来进行设计，形象既要符合整片风格，又要符合人物性格，年龄层次等，观众能容易接受和喜爱。</w:t>
            </w:r>
          </w:p>
          <w:p w14:paraId="6A5A34D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7、场景设计应与人物风格定位一致，细节展示丰富，色彩明快，清晰美观。景深感要强，透视正确、美观，色调和人物融合、一致，多角度制作，画面饱满，充实。</w:t>
            </w:r>
          </w:p>
          <w:p w14:paraId="7C1CB96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8、保证角色人物形象和场景为设计师原创素材，不得产生产权纠纷。</w:t>
            </w:r>
          </w:p>
          <w:p w14:paraId="139516C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9、动画内容原始文件输出设置</w:t>
            </w:r>
          </w:p>
          <w:p w14:paraId="39A6197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1）Mp4格式，h264编码、动画内容制作时帧速设置范围25帧/秒。</w:t>
            </w:r>
          </w:p>
          <w:p w14:paraId="5BA0523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2）输出成片分辨率不低于1920*1080。图像比16:9。</w:t>
            </w:r>
          </w:p>
          <w:p w14:paraId="3CF2303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▲10、制作完成的作品版权归采购人所有。</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4A677D6">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3643340">
            <w:pPr>
              <w:spacing w:line="400" w:lineRule="exact"/>
              <w:jc w:val="center"/>
              <w:rPr>
                <w:rFonts w:ascii="宋体" w:hAnsi="宋体" w:cs="宋体"/>
                <w:color w:val="auto"/>
                <w:szCs w:val="21"/>
              </w:rPr>
            </w:pPr>
            <w:r>
              <w:rPr>
                <w:rFonts w:hint="eastAsia" w:ascii="宋体" w:hAnsi="宋体" w:cs="宋体"/>
                <w:color w:val="auto"/>
                <w:szCs w:val="21"/>
              </w:rPr>
              <w:t>40</w:t>
            </w:r>
          </w:p>
        </w:tc>
        <w:tc>
          <w:tcPr>
            <w:tcW w:w="273" w:type="pct"/>
            <w:tcBorders>
              <w:top w:val="single" w:color="auto" w:sz="4" w:space="0"/>
              <w:left w:val="nil"/>
              <w:bottom w:val="single" w:color="auto" w:sz="4" w:space="0"/>
              <w:right w:val="single" w:color="auto" w:sz="4" w:space="0"/>
            </w:tcBorders>
            <w:vAlign w:val="center"/>
          </w:tcPr>
          <w:p w14:paraId="1EB84EB5">
            <w:pPr>
              <w:spacing w:line="400" w:lineRule="exact"/>
              <w:jc w:val="center"/>
              <w:rPr>
                <w:rFonts w:ascii="宋体" w:hAnsi="宋体" w:cs="宋体"/>
                <w:color w:val="auto"/>
                <w:szCs w:val="21"/>
              </w:rPr>
            </w:pPr>
            <w:r>
              <w:rPr>
                <w:rFonts w:hint="eastAsia" w:ascii="宋体" w:hAnsi="宋体" w:cs="宋体"/>
                <w:color w:val="auto"/>
                <w:szCs w:val="21"/>
              </w:rPr>
              <w:t>1100</w:t>
            </w:r>
          </w:p>
        </w:tc>
      </w:tr>
      <w:tr w14:paraId="5F22653D">
        <w:tblPrEx>
          <w:tblCellMar>
            <w:top w:w="0" w:type="dxa"/>
            <w:left w:w="0" w:type="dxa"/>
            <w:bottom w:w="0" w:type="dxa"/>
            <w:right w:w="0" w:type="dxa"/>
          </w:tblCellMar>
        </w:tblPrEx>
        <w:trPr>
          <w:trHeight w:val="567" w:hRule="atLeast"/>
        </w:trPr>
        <w:tc>
          <w:tcPr>
            <w:tcW w:w="258" w:type="pct"/>
            <w:vMerge w:val="continue"/>
            <w:tcBorders>
              <w:left w:val="single" w:color="auto" w:sz="4" w:space="0"/>
              <w:right w:val="single" w:color="auto" w:sz="4" w:space="0"/>
            </w:tcBorders>
            <w:tcMar>
              <w:top w:w="13" w:type="dxa"/>
              <w:left w:w="57" w:type="dxa"/>
              <w:bottom w:w="0" w:type="dxa"/>
              <w:right w:w="57" w:type="dxa"/>
            </w:tcMar>
            <w:vAlign w:val="center"/>
          </w:tcPr>
          <w:p w14:paraId="29334BF6">
            <w:pPr>
              <w:rPr>
                <w:color w:val="auto"/>
              </w:rPr>
            </w:pPr>
          </w:p>
        </w:tc>
        <w:tc>
          <w:tcPr>
            <w:tcW w:w="371" w:type="pct"/>
            <w:gridSpan w:val="2"/>
            <w:vMerge w:val="continue"/>
            <w:tcBorders>
              <w:left w:val="nil"/>
              <w:right w:val="single" w:color="auto" w:sz="6" w:space="0"/>
            </w:tcBorders>
          </w:tcPr>
          <w:p w14:paraId="68F0DD48">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3E35E493">
            <w:pPr>
              <w:spacing w:line="400" w:lineRule="exact"/>
              <w:rPr>
                <w:rFonts w:ascii="宋体" w:hAnsi="宋体" w:cs="宋体"/>
                <w:color w:val="auto"/>
                <w:szCs w:val="21"/>
              </w:rPr>
            </w:pPr>
            <w:r>
              <w:rPr>
                <w:rFonts w:hint="eastAsia" w:ascii="宋体" w:hAnsi="宋体" w:cs="宋体"/>
                <w:color w:val="auto"/>
                <w:szCs w:val="21"/>
              </w:rPr>
              <w:t>电商谷虚拟仿真研学基地-视频类资源</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88793A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电商谷虚拟仿真研学基地资源定制涵盖电商电商运营、网络营销、直播电商的，商品管理、营销活动、直播技巧等方面以及客户服务与关系管理、数据分析与决策、供应链管理模拟的相关内容，涉及客户处理、数据采集分析、供应商合作等。此外，包含创新与创业项目、行业案例研究以及团队协作与沟通的训练，如商业模式探讨、案例分析、团队合作，及东南亚文化培养、商业礼仪、数据分析、法律法规、物流分销策略等内容定制。</w:t>
            </w:r>
          </w:p>
          <w:p w14:paraId="4C49A79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50985861">
            <w:pPr>
              <w:spacing w:line="400" w:lineRule="exact"/>
              <w:rPr>
                <w:rFonts w:ascii="宋体" w:hAnsi="宋体" w:cs="宋体"/>
                <w:color w:val="auto"/>
                <w:szCs w:val="21"/>
              </w:rPr>
            </w:pPr>
          </w:p>
          <w:p w14:paraId="653A533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▲1、确定内容及表现形式，从而进行教学资源的设计与后期制作；</w:t>
            </w:r>
          </w:p>
          <w:p w14:paraId="227625B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▲2、视频时长3-6分钟；画质、音质清晰，字母清晰，播放流畅。</w:t>
            </w:r>
          </w:p>
          <w:p w14:paraId="00BDC7A5">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▲3、视频根据资源化建设内容中提取的重难点进行筛选，围绕重难点形成视频。</w:t>
            </w:r>
          </w:p>
          <w:p w14:paraId="55635A0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4、拍摄设备要求</w:t>
            </w:r>
          </w:p>
          <w:p w14:paraId="216A7C2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1）拍摄设备:现场摄像机要求使用专业级数字高清设备、品牌及型号一致，且为一线品牌。</w:t>
            </w:r>
          </w:p>
          <w:p w14:paraId="60465B1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2）音频设备：现场录制要求使用专业级音频设备，保证教师和学生发言的录音质量。</w:t>
            </w:r>
          </w:p>
          <w:p w14:paraId="191F8C8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3）灯光设备：专业影视摄影镝灯，LED面光灯等。</w:t>
            </w:r>
          </w:p>
          <w:p w14:paraId="1EC0BB0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4）辅助记忆设备：提供提词器。</w:t>
            </w:r>
          </w:p>
          <w:p w14:paraId="41882AB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5）存储设备：设备及有效容量应能保证正常完成拍摄任务。</w:t>
            </w:r>
          </w:p>
          <w:p w14:paraId="5FC7FB2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6）后期制作设备：专业的非线性编辑系统。</w:t>
            </w:r>
          </w:p>
          <w:p w14:paraId="3832C97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5、视频信号源技术指标要求</w:t>
            </w:r>
          </w:p>
          <w:p w14:paraId="7C8CC4E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1）稳定性：全片图像同步性能稳定，无失步现象，CTL同步控制信号必须连续；图像无抖动跳跃，色彩无突变，编辑点处图像稳定。</w:t>
            </w:r>
          </w:p>
          <w:p w14:paraId="258FE22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2）信噪比：图像信噪比不低于55dB，无明显杂波。</w:t>
            </w:r>
          </w:p>
          <w:p w14:paraId="0F7F045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3）色调：白平衡正确，无明显偏色，多机拍摄的镜头衔接处无明显色差。</w:t>
            </w:r>
          </w:p>
          <w:p w14:paraId="281599F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4）视频电平：视频全讯号幅度为1Ⅴp-p，最大不超过1.1Ⅴ p-p。其中，消隐电平为0V时，白电平幅度0.7Ⅴp-p，同步信号-0.3V，色同步信号幅度0.3V p-p (以消隐线上下对称)，全片一致。</w:t>
            </w:r>
          </w:p>
          <w:p w14:paraId="36191D6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6、版权说明</w:t>
            </w:r>
          </w:p>
          <w:p w14:paraId="04268DD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1）所有素材及资源制作的版权归属学校所有。</w:t>
            </w:r>
          </w:p>
          <w:p w14:paraId="0CA77B15">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2）注意成片中所有使用的图片、音视频等素材的版权问题，规避版权风险。</w:t>
            </w:r>
          </w:p>
          <w:p w14:paraId="03A266C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▲7、数字化资源内容为定制化开发内容。</w:t>
            </w:r>
          </w:p>
          <w:p w14:paraId="2A679AA5">
            <w:pPr>
              <w:spacing w:line="400" w:lineRule="exact"/>
              <w:rPr>
                <w:rFonts w:ascii="宋体" w:hAnsi="宋体" w:cs="宋体"/>
                <w:color w:val="auto"/>
                <w:szCs w:val="21"/>
              </w:rPr>
            </w:pP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C43221D">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D149040">
            <w:pPr>
              <w:spacing w:line="400" w:lineRule="exact"/>
              <w:jc w:val="center"/>
              <w:rPr>
                <w:rFonts w:ascii="宋体" w:hAnsi="宋体" w:cs="宋体"/>
                <w:color w:val="auto"/>
                <w:szCs w:val="21"/>
              </w:rPr>
            </w:pPr>
            <w:r>
              <w:rPr>
                <w:rFonts w:hint="eastAsia" w:ascii="宋体" w:hAnsi="宋体" w:cs="宋体"/>
                <w:color w:val="auto"/>
                <w:szCs w:val="21"/>
              </w:rPr>
              <w:t>78</w:t>
            </w:r>
          </w:p>
        </w:tc>
        <w:tc>
          <w:tcPr>
            <w:tcW w:w="273" w:type="pct"/>
            <w:tcBorders>
              <w:top w:val="single" w:color="auto" w:sz="4" w:space="0"/>
              <w:left w:val="nil"/>
              <w:bottom w:val="single" w:color="auto" w:sz="4" w:space="0"/>
              <w:right w:val="single" w:color="auto" w:sz="4" w:space="0"/>
            </w:tcBorders>
            <w:vAlign w:val="center"/>
          </w:tcPr>
          <w:p w14:paraId="768367CD">
            <w:pPr>
              <w:spacing w:line="400" w:lineRule="exact"/>
              <w:jc w:val="center"/>
              <w:rPr>
                <w:rFonts w:ascii="宋体" w:hAnsi="宋体" w:cs="宋体"/>
                <w:color w:val="auto"/>
                <w:szCs w:val="21"/>
              </w:rPr>
            </w:pPr>
            <w:r>
              <w:rPr>
                <w:rFonts w:hint="eastAsia" w:ascii="宋体" w:hAnsi="宋体" w:cs="宋体"/>
                <w:color w:val="auto"/>
                <w:szCs w:val="21"/>
              </w:rPr>
              <w:t>800</w:t>
            </w:r>
          </w:p>
        </w:tc>
      </w:tr>
      <w:tr w14:paraId="7BF8CD32">
        <w:tblPrEx>
          <w:tblCellMar>
            <w:top w:w="0" w:type="dxa"/>
            <w:left w:w="0" w:type="dxa"/>
            <w:bottom w:w="0" w:type="dxa"/>
            <w:right w:w="0" w:type="dxa"/>
          </w:tblCellMar>
        </w:tblPrEx>
        <w:trPr>
          <w:trHeight w:val="567" w:hRule="atLeast"/>
        </w:trPr>
        <w:tc>
          <w:tcPr>
            <w:tcW w:w="258" w:type="pct"/>
            <w:vMerge w:val="continue"/>
            <w:tcBorders>
              <w:left w:val="single" w:color="auto" w:sz="4" w:space="0"/>
              <w:right w:val="single" w:color="auto" w:sz="4" w:space="0"/>
            </w:tcBorders>
            <w:tcMar>
              <w:top w:w="13" w:type="dxa"/>
              <w:left w:w="57" w:type="dxa"/>
              <w:bottom w:w="0" w:type="dxa"/>
              <w:right w:w="57" w:type="dxa"/>
            </w:tcMar>
            <w:vAlign w:val="center"/>
          </w:tcPr>
          <w:p w14:paraId="41D9BB62">
            <w:pPr>
              <w:rPr>
                <w:color w:val="auto"/>
              </w:rPr>
            </w:pPr>
          </w:p>
        </w:tc>
        <w:tc>
          <w:tcPr>
            <w:tcW w:w="371" w:type="pct"/>
            <w:gridSpan w:val="2"/>
            <w:vMerge w:val="continue"/>
            <w:tcBorders>
              <w:left w:val="nil"/>
              <w:right w:val="single" w:color="auto" w:sz="6" w:space="0"/>
            </w:tcBorders>
          </w:tcPr>
          <w:p w14:paraId="4C4558E0">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37302E33">
            <w:pPr>
              <w:spacing w:line="400" w:lineRule="exact"/>
              <w:rPr>
                <w:rFonts w:ascii="宋体" w:hAnsi="宋体" w:cs="宋体"/>
                <w:color w:val="auto"/>
                <w:szCs w:val="21"/>
              </w:rPr>
            </w:pPr>
            <w:r>
              <w:rPr>
                <w:rFonts w:hint="eastAsia" w:ascii="宋体" w:hAnsi="宋体" w:cs="宋体"/>
                <w:color w:val="auto"/>
                <w:szCs w:val="21"/>
              </w:rPr>
              <w:t>电商谷虚拟仿真研学基地-三维仿真资源</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107BCA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电商谷虚拟仿真研学基地资源定制涵盖电商电商运营、网络营销、直播电商的，商品管理、营销活动、直播技巧等方面以及客户服务与关系管理、数据分析与决策、供应链管理模拟的相关内容，涉及客户处理、数据采集分析、供应商合作等。此外，包含创新与创业项目、行业案例研究以及团队协作与沟通的训练，如商业模式探讨、案例分析、团队合作，及东南亚文化培养、商业礼仪、数据分析、法律法规、物流分销策略等内容定制。</w:t>
            </w:r>
          </w:p>
          <w:p w14:paraId="04EBBFD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0763E46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技术参数如下：</w:t>
            </w:r>
          </w:p>
          <w:p w14:paraId="52B2189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 xml:space="preserve">1、仿真资源不少于1分钟/个。 </w:t>
            </w:r>
          </w:p>
          <w:p w14:paraId="7808521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 xml:space="preserve">2、输出格式为mp4。 </w:t>
            </w:r>
          </w:p>
          <w:p w14:paraId="396AC6F5">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 xml:space="preserve">3、要求原创，且能生动有趣具体的表现知识点。 </w:t>
            </w:r>
          </w:p>
          <w:p w14:paraId="2BEFBF0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 xml:space="preserve">4、使用三维动画软件制作。 </w:t>
            </w:r>
          </w:p>
          <w:p w14:paraId="56F40BB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 xml:space="preserve">5、采用建模的方式，满足三维或数据可视化表达需求。 </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7385159">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FD6676E">
            <w:pPr>
              <w:spacing w:line="400" w:lineRule="exact"/>
              <w:jc w:val="center"/>
              <w:rPr>
                <w:rFonts w:ascii="宋体" w:hAnsi="宋体" w:cs="宋体"/>
                <w:color w:val="auto"/>
                <w:szCs w:val="21"/>
              </w:rPr>
            </w:pPr>
            <w:r>
              <w:rPr>
                <w:rFonts w:hint="eastAsia" w:ascii="宋体" w:hAnsi="宋体" w:cs="宋体"/>
                <w:color w:val="auto"/>
                <w:szCs w:val="21"/>
              </w:rPr>
              <w:t>3</w:t>
            </w:r>
          </w:p>
        </w:tc>
        <w:tc>
          <w:tcPr>
            <w:tcW w:w="273" w:type="pct"/>
            <w:tcBorders>
              <w:top w:val="single" w:color="auto" w:sz="4" w:space="0"/>
              <w:left w:val="nil"/>
              <w:bottom w:val="single" w:color="auto" w:sz="4" w:space="0"/>
              <w:right w:val="single" w:color="auto" w:sz="4" w:space="0"/>
            </w:tcBorders>
            <w:vAlign w:val="center"/>
          </w:tcPr>
          <w:p w14:paraId="5C8214D6">
            <w:pPr>
              <w:spacing w:line="400" w:lineRule="exact"/>
              <w:jc w:val="center"/>
              <w:rPr>
                <w:rFonts w:ascii="宋体" w:hAnsi="宋体" w:cs="宋体"/>
                <w:color w:val="auto"/>
                <w:szCs w:val="21"/>
              </w:rPr>
            </w:pPr>
            <w:r>
              <w:rPr>
                <w:rFonts w:hint="eastAsia" w:ascii="宋体" w:hAnsi="宋体" w:cs="宋体"/>
                <w:color w:val="auto"/>
                <w:szCs w:val="21"/>
              </w:rPr>
              <w:t>1450</w:t>
            </w:r>
          </w:p>
        </w:tc>
      </w:tr>
      <w:tr w14:paraId="10DDD333">
        <w:tblPrEx>
          <w:tblCellMar>
            <w:top w:w="0" w:type="dxa"/>
            <w:left w:w="0" w:type="dxa"/>
            <w:bottom w:w="0" w:type="dxa"/>
            <w:right w:w="0" w:type="dxa"/>
          </w:tblCellMar>
        </w:tblPrEx>
        <w:trPr>
          <w:trHeight w:val="567" w:hRule="atLeast"/>
        </w:trPr>
        <w:tc>
          <w:tcPr>
            <w:tcW w:w="258" w:type="pct"/>
            <w:vMerge w:val="continue"/>
            <w:tcBorders>
              <w:left w:val="single" w:color="auto" w:sz="4" w:space="0"/>
              <w:right w:val="single" w:color="auto" w:sz="4" w:space="0"/>
            </w:tcBorders>
            <w:tcMar>
              <w:top w:w="13" w:type="dxa"/>
              <w:left w:w="57" w:type="dxa"/>
              <w:bottom w:w="0" w:type="dxa"/>
              <w:right w:w="57" w:type="dxa"/>
            </w:tcMar>
            <w:vAlign w:val="center"/>
          </w:tcPr>
          <w:p w14:paraId="6121BE8D">
            <w:pPr>
              <w:rPr>
                <w:color w:val="auto"/>
              </w:rPr>
            </w:pPr>
          </w:p>
        </w:tc>
        <w:tc>
          <w:tcPr>
            <w:tcW w:w="371" w:type="pct"/>
            <w:gridSpan w:val="2"/>
            <w:vMerge w:val="continue"/>
            <w:tcBorders>
              <w:left w:val="nil"/>
              <w:right w:val="single" w:color="auto" w:sz="6" w:space="0"/>
            </w:tcBorders>
          </w:tcPr>
          <w:p w14:paraId="096CAE97">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6" w:space="0"/>
              <w:right w:val="single" w:color="auto" w:sz="4" w:space="0"/>
            </w:tcBorders>
            <w:tcMar>
              <w:top w:w="13" w:type="dxa"/>
              <w:left w:w="57" w:type="dxa"/>
              <w:bottom w:w="0" w:type="dxa"/>
              <w:right w:w="57" w:type="dxa"/>
            </w:tcMar>
            <w:vAlign w:val="center"/>
          </w:tcPr>
          <w:p w14:paraId="1093FED7">
            <w:pPr>
              <w:spacing w:line="400" w:lineRule="exact"/>
              <w:rPr>
                <w:rFonts w:ascii="宋体" w:hAnsi="宋体" w:cs="宋体"/>
                <w:color w:val="auto"/>
                <w:szCs w:val="21"/>
              </w:rPr>
            </w:pPr>
            <w:r>
              <w:rPr>
                <w:rFonts w:hint="eastAsia" w:ascii="宋体" w:hAnsi="宋体" w:cs="宋体"/>
                <w:color w:val="auto"/>
                <w:szCs w:val="21"/>
              </w:rPr>
              <w:t>电商谷虚拟仿真研学基地-文本资源</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A73BB8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电商谷虚拟仿真研学基地资源定制涵盖电商电商运营、网络营销、直播电商的，商品管理、营销活动、直播技巧等方面以及客户服务与关系管理、数据分析与决策、供应链管理模拟的相关内容，涉及客户处理、数据采集分析、供应商合作等。此外，包含创新与创业项目、行业案例研究以及团队协作与沟通的训练，如商业模式探讨、案例分析、团队合作，及东南亚文化培养、商业礼仪、数据分析、法律法规、物流分销策略等内容定制。</w:t>
            </w:r>
          </w:p>
          <w:p w14:paraId="6CF4053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2E649ADB">
            <w:pPr>
              <w:spacing w:line="400" w:lineRule="exact"/>
              <w:rPr>
                <w:rFonts w:ascii="宋体" w:hAnsi="宋体" w:cs="宋体"/>
                <w:color w:val="auto"/>
                <w:szCs w:val="21"/>
              </w:rPr>
            </w:pPr>
          </w:p>
          <w:p w14:paraId="340A25C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1、文本资源包括格式统一，排版美观大方；内容丰富，形式多样。</w:t>
            </w:r>
          </w:p>
          <w:p w14:paraId="164EE7FA">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2、‌文本型参数具体要求‌：</w:t>
            </w:r>
          </w:p>
          <w:p w14:paraId="31994A4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‌text类型‌：最大长度为2^31-1个字符，存储长度为实际字符数个字节。</w:t>
            </w:r>
          </w:p>
          <w:p w14:paraId="65CAC09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‌ntext类型‌：最大长度为2^30-1个Unicode字符，存储长度是实际字符个数的两倍。</w:t>
            </w:r>
          </w:p>
          <w:p w14:paraId="5A7B4E6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3、‌字体相关参数‌：</w:t>
            </w:r>
          </w:p>
          <w:p w14:paraId="2A7D9CC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‌字体分类‌：主要分为有衬线字与无衬线字，两者风格迥异，各有特色。</w:t>
            </w:r>
          </w:p>
          <w:p w14:paraId="7BCA595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‌字号‌：指字符的大小，通常正文内容使用18号字，且需保持一致性。</w:t>
            </w:r>
          </w:p>
          <w:p w14:paraId="4A86FB2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‌字重‌：指字体的粗细程度，字重越重越显得大气、雄壮，字重越轻越显得精致、秀气。</w:t>
            </w:r>
          </w:p>
          <w:p w14:paraId="3CC5AFC5">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‌字距‌：指字符之间的间距，合适的字距能增强文字的呼吸感，带来最优的阅读体验。</w:t>
            </w:r>
          </w:p>
          <w:p w14:paraId="036CEE1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‌行距‌：指每行之间的间距，合适的行距能使得画面排版更美观，提升阅读体验感。</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BE88D94">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A75C2F2">
            <w:pPr>
              <w:spacing w:line="400" w:lineRule="exact"/>
              <w:jc w:val="center"/>
              <w:rPr>
                <w:rFonts w:ascii="宋体" w:hAnsi="宋体" w:cs="宋体"/>
                <w:color w:val="auto"/>
                <w:szCs w:val="21"/>
              </w:rPr>
            </w:pPr>
            <w:r>
              <w:rPr>
                <w:rFonts w:hint="eastAsia" w:ascii="宋体" w:hAnsi="宋体" w:cs="宋体"/>
                <w:color w:val="auto"/>
                <w:szCs w:val="21"/>
              </w:rPr>
              <w:t>70</w:t>
            </w:r>
          </w:p>
        </w:tc>
        <w:tc>
          <w:tcPr>
            <w:tcW w:w="273" w:type="pct"/>
            <w:tcBorders>
              <w:top w:val="single" w:color="auto" w:sz="4" w:space="0"/>
              <w:left w:val="nil"/>
              <w:bottom w:val="single" w:color="auto" w:sz="4" w:space="0"/>
              <w:right w:val="single" w:color="auto" w:sz="4" w:space="0"/>
            </w:tcBorders>
            <w:vAlign w:val="center"/>
          </w:tcPr>
          <w:p w14:paraId="54CD9FC4">
            <w:pPr>
              <w:spacing w:line="400" w:lineRule="exact"/>
              <w:jc w:val="center"/>
              <w:rPr>
                <w:rFonts w:ascii="宋体" w:hAnsi="宋体" w:cs="宋体"/>
                <w:color w:val="auto"/>
                <w:szCs w:val="21"/>
              </w:rPr>
            </w:pPr>
            <w:r>
              <w:rPr>
                <w:rFonts w:hint="eastAsia" w:ascii="宋体" w:hAnsi="宋体" w:cs="宋体"/>
                <w:color w:val="auto"/>
                <w:szCs w:val="21"/>
              </w:rPr>
              <w:t>7</w:t>
            </w:r>
          </w:p>
        </w:tc>
      </w:tr>
      <w:tr w14:paraId="5C2D3D6D">
        <w:tblPrEx>
          <w:tblCellMar>
            <w:top w:w="0" w:type="dxa"/>
            <w:left w:w="0" w:type="dxa"/>
            <w:bottom w:w="0" w:type="dxa"/>
            <w:right w:w="0" w:type="dxa"/>
          </w:tblCellMar>
        </w:tblPrEx>
        <w:trPr>
          <w:trHeight w:val="567" w:hRule="atLeast"/>
        </w:trPr>
        <w:tc>
          <w:tcPr>
            <w:tcW w:w="258" w:type="pct"/>
            <w:vMerge w:val="continue"/>
            <w:tcBorders>
              <w:left w:val="single" w:color="auto" w:sz="4" w:space="0"/>
              <w:bottom w:val="single" w:color="auto" w:sz="4" w:space="0"/>
              <w:right w:val="single" w:color="auto" w:sz="4" w:space="0"/>
            </w:tcBorders>
            <w:tcMar>
              <w:top w:w="13" w:type="dxa"/>
              <w:left w:w="57" w:type="dxa"/>
              <w:bottom w:w="0" w:type="dxa"/>
              <w:right w:w="57" w:type="dxa"/>
            </w:tcMar>
            <w:vAlign w:val="center"/>
          </w:tcPr>
          <w:p w14:paraId="49F07476">
            <w:pPr>
              <w:rPr>
                <w:color w:val="auto"/>
              </w:rPr>
            </w:pPr>
          </w:p>
        </w:tc>
        <w:tc>
          <w:tcPr>
            <w:tcW w:w="371" w:type="pct"/>
            <w:gridSpan w:val="2"/>
            <w:vMerge w:val="continue"/>
            <w:tcBorders>
              <w:left w:val="nil"/>
              <w:bottom w:val="single" w:color="auto" w:sz="4" w:space="0"/>
              <w:right w:val="single" w:color="auto" w:sz="6" w:space="0"/>
            </w:tcBorders>
          </w:tcPr>
          <w:p w14:paraId="755CDE85">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4" w:space="0"/>
              <w:right w:val="single" w:color="auto" w:sz="4" w:space="0"/>
            </w:tcBorders>
            <w:tcMar>
              <w:top w:w="13" w:type="dxa"/>
              <w:left w:w="57" w:type="dxa"/>
              <w:bottom w:w="0" w:type="dxa"/>
              <w:right w:w="57" w:type="dxa"/>
            </w:tcMar>
            <w:vAlign w:val="center"/>
          </w:tcPr>
          <w:p w14:paraId="6B04A564">
            <w:pPr>
              <w:spacing w:line="400" w:lineRule="exact"/>
              <w:rPr>
                <w:rFonts w:ascii="宋体" w:hAnsi="宋体" w:cs="宋体"/>
                <w:color w:val="auto"/>
                <w:szCs w:val="21"/>
              </w:rPr>
            </w:pPr>
            <w:r>
              <w:rPr>
                <w:rFonts w:hint="eastAsia" w:ascii="宋体" w:hAnsi="宋体" w:cs="宋体"/>
                <w:color w:val="auto"/>
                <w:szCs w:val="21"/>
              </w:rPr>
              <w:t>电商谷虚拟仿真研学基地-音频资源</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BEE5FE5">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依据资源库总体建设需求，电商谷虚拟仿真研学基地资源定制涵盖电商电商运营、网络营销、直播电商的，商品管理、营销活动、直播技巧等方面以及客户服务与关系管理、数据分析与决策、供应链管理模拟的相关内容，涉及客户处理、数据采集分析、供应商合作等。此外，包含创新与创业项目、行业案例研究以及团队协作与沟通的训练，如商业模式探讨、案例分析、团队合作，及东南亚文化培养、商业礼仪、数据分析、法律法规、物流分销策略等内容定制。</w:t>
            </w:r>
          </w:p>
          <w:p w14:paraId="1DB21BA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517D4A23">
            <w:pPr>
              <w:spacing w:line="400" w:lineRule="exact"/>
              <w:rPr>
                <w:rFonts w:ascii="宋体" w:hAnsi="宋体" w:cs="宋体"/>
                <w:color w:val="auto"/>
                <w:szCs w:val="21"/>
              </w:rPr>
            </w:pPr>
          </w:p>
          <w:p w14:paraId="1BC4106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1、输出格式为MP3。</w:t>
            </w:r>
          </w:p>
          <w:p w14:paraId="681DD84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2、音频时长为3-5分钟。</w:t>
            </w:r>
          </w:p>
          <w:p w14:paraId="7294A35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3、语音采用标准的普通话、美式或英式英语配音，特殊语言学习和材料除外，使用适合教学的语调。</w:t>
            </w:r>
          </w:p>
          <w:p w14:paraId="083C336B">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4、音频信号源技术指标要求</w:t>
            </w:r>
          </w:p>
          <w:p w14:paraId="76F3D8F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1）声道：中文内容音频信号记录于第1声道，音乐、音效、同期声记录于第2声道，若有其他文字解说记录于第3声道（如录音设备无第3声道，则录于第2声道）。</w:t>
            </w:r>
          </w:p>
          <w:p w14:paraId="12AC6D4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2）电平指标：-2db — -8db声音应无明显失真、放音过冲、过弱。</w:t>
            </w:r>
          </w:p>
          <w:p w14:paraId="450CA1A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3）音频信噪比不低于48db。</w:t>
            </w:r>
          </w:p>
          <w:p w14:paraId="5F20AE65">
            <w:pPr>
              <w:spacing w:line="400" w:lineRule="exact"/>
              <w:rPr>
                <w:rFonts w:ascii="宋体" w:hAnsi="宋体" w:cs="宋体"/>
                <w:color w:val="auto"/>
                <w:szCs w:val="21"/>
              </w:rPr>
            </w:pPr>
            <w:r>
              <w:rPr>
                <w:rFonts w:hint="eastAsia" w:ascii="宋体" w:hAnsi="宋体" w:cs="宋体"/>
                <w:color w:val="auto"/>
                <w:szCs w:val="21"/>
              </w:rPr>
              <w:t>声音和画面要求同步，无交流声或其他杂音等缺陷。伴音清晰、饱满、圆润，无失真、噪声杂音干扰、音量忽大忽小现象。解说声与现场声无明显比例失调，解说声与背景音乐无明显比例失调。</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E2F9661">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070FDE8">
            <w:pPr>
              <w:spacing w:line="400" w:lineRule="exact"/>
              <w:jc w:val="center"/>
              <w:rPr>
                <w:rFonts w:ascii="宋体" w:hAnsi="宋体" w:cs="宋体"/>
                <w:color w:val="auto"/>
                <w:szCs w:val="21"/>
              </w:rPr>
            </w:pPr>
            <w:r>
              <w:rPr>
                <w:rFonts w:hint="eastAsia" w:ascii="宋体" w:hAnsi="宋体" w:cs="宋体"/>
                <w:color w:val="auto"/>
                <w:szCs w:val="21"/>
              </w:rPr>
              <w:t>100</w:t>
            </w:r>
          </w:p>
        </w:tc>
        <w:tc>
          <w:tcPr>
            <w:tcW w:w="273" w:type="pct"/>
            <w:tcBorders>
              <w:top w:val="single" w:color="auto" w:sz="4" w:space="0"/>
              <w:left w:val="nil"/>
              <w:bottom w:val="single" w:color="auto" w:sz="4" w:space="0"/>
              <w:right w:val="single" w:color="auto" w:sz="4" w:space="0"/>
            </w:tcBorders>
            <w:vAlign w:val="center"/>
          </w:tcPr>
          <w:p w14:paraId="271273C2">
            <w:pPr>
              <w:spacing w:line="400" w:lineRule="exact"/>
              <w:jc w:val="center"/>
              <w:rPr>
                <w:rFonts w:ascii="宋体" w:hAnsi="宋体" w:cs="宋体"/>
                <w:color w:val="auto"/>
                <w:szCs w:val="21"/>
              </w:rPr>
            </w:pPr>
            <w:r>
              <w:rPr>
                <w:rFonts w:hint="eastAsia" w:ascii="宋体" w:hAnsi="宋体" w:cs="宋体"/>
                <w:color w:val="auto"/>
                <w:szCs w:val="21"/>
              </w:rPr>
              <w:t>2</w:t>
            </w:r>
          </w:p>
        </w:tc>
      </w:tr>
      <w:tr w14:paraId="56A8A748">
        <w:tblPrEx>
          <w:tblCellMar>
            <w:top w:w="0" w:type="dxa"/>
            <w:left w:w="0" w:type="dxa"/>
            <w:bottom w:w="0" w:type="dxa"/>
            <w:right w:w="0" w:type="dxa"/>
          </w:tblCellMar>
        </w:tblPrEx>
        <w:trPr>
          <w:trHeight w:val="567" w:hRule="atLeast"/>
        </w:trPr>
        <w:tc>
          <w:tcPr>
            <w:tcW w:w="4001" w:type="pct"/>
            <w:gridSpan w:val="5"/>
            <w:tcBorders>
              <w:left w:val="single" w:color="auto" w:sz="4" w:space="0"/>
              <w:bottom w:val="single" w:color="auto" w:sz="4" w:space="0"/>
              <w:right w:val="single" w:color="auto" w:sz="4" w:space="0"/>
            </w:tcBorders>
            <w:tcMar>
              <w:top w:w="13" w:type="dxa"/>
              <w:left w:w="57" w:type="dxa"/>
              <w:bottom w:w="0" w:type="dxa"/>
              <w:right w:w="57" w:type="dxa"/>
            </w:tcMar>
            <w:vAlign w:val="center"/>
          </w:tcPr>
          <w:p w14:paraId="6B3288A1">
            <w:pPr>
              <w:spacing w:line="400" w:lineRule="exact"/>
              <w:rPr>
                <w:rFonts w:ascii="宋体" w:hAnsi="宋体" w:cs="宋体"/>
                <w:b/>
                <w:color w:val="auto"/>
                <w:szCs w:val="21"/>
              </w:rPr>
            </w:pPr>
            <w:r>
              <w:rPr>
                <w:rFonts w:hint="eastAsia" w:ascii="宋体" w:hAnsi="宋体" w:cs="宋体"/>
                <w:b/>
                <w:color w:val="auto"/>
                <w:szCs w:val="21"/>
              </w:rPr>
              <w:t>小计：141440元</w:t>
            </w:r>
          </w:p>
        </w:tc>
        <w:tc>
          <w:tcPr>
            <w:tcW w:w="999" w:type="pct"/>
            <w:gridSpan w:val="3"/>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23F34A5">
            <w:pPr>
              <w:spacing w:line="400" w:lineRule="exact"/>
              <w:rPr>
                <w:rFonts w:ascii="宋体" w:hAnsi="宋体" w:cs="宋体"/>
                <w:color w:val="auto"/>
                <w:szCs w:val="21"/>
              </w:rPr>
            </w:pPr>
          </w:p>
        </w:tc>
      </w:tr>
      <w:tr w14:paraId="5B9120AF">
        <w:tblPrEx>
          <w:tblCellMar>
            <w:top w:w="0" w:type="dxa"/>
            <w:left w:w="0" w:type="dxa"/>
            <w:bottom w:w="0" w:type="dxa"/>
            <w:right w:w="0" w:type="dxa"/>
          </w:tblCellMar>
        </w:tblPrEx>
        <w:trPr>
          <w:trHeight w:val="567" w:hRule="atLeast"/>
        </w:trPr>
        <w:tc>
          <w:tcPr>
            <w:tcW w:w="258" w:type="pct"/>
            <w:vMerge w:val="restart"/>
            <w:tcBorders>
              <w:left w:val="single" w:color="auto" w:sz="4" w:space="0"/>
              <w:right w:val="single" w:color="auto" w:sz="4" w:space="0"/>
            </w:tcBorders>
            <w:tcMar>
              <w:top w:w="13" w:type="dxa"/>
              <w:left w:w="57" w:type="dxa"/>
              <w:bottom w:w="0" w:type="dxa"/>
              <w:right w:w="57" w:type="dxa"/>
            </w:tcMar>
            <w:vAlign w:val="center"/>
          </w:tcPr>
          <w:p w14:paraId="0896F65B">
            <w:pPr>
              <w:rPr>
                <w:color w:val="auto"/>
              </w:rPr>
            </w:pPr>
          </w:p>
          <w:p w14:paraId="12666F5A">
            <w:pPr>
              <w:rPr>
                <w:color w:val="auto"/>
              </w:rPr>
            </w:pPr>
          </w:p>
          <w:p w14:paraId="2923A7C1">
            <w:pPr>
              <w:rPr>
                <w:color w:val="auto"/>
              </w:rPr>
            </w:pPr>
          </w:p>
          <w:p w14:paraId="0F656E8F">
            <w:pPr>
              <w:rPr>
                <w:color w:val="auto"/>
              </w:rPr>
            </w:pPr>
          </w:p>
          <w:p w14:paraId="77FC22F6">
            <w:pPr>
              <w:rPr>
                <w:color w:val="auto"/>
              </w:rPr>
            </w:pPr>
          </w:p>
          <w:p w14:paraId="2DF3C5B3">
            <w:pPr>
              <w:rPr>
                <w:color w:val="auto"/>
              </w:rPr>
            </w:pPr>
          </w:p>
          <w:p w14:paraId="35BC7218">
            <w:pPr>
              <w:rPr>
                <w:color w:val="auto"/>
              </w:rPr>
            </w:pPr>
          </w:p>
          <w:p w14:paraId="477558A0">
            <w:pPr>
              <w:rPr>
                <w:color w:val="auto"/>
              </w:rPr>
            </w:pPr>
          </w:p>
          <w:p w14:paraId="1987CED7">
            <w:pPr>
              <w:rPr>
                <w:color w:val="auto"/>
              </w:rPr>
            </w:pPr>
          </w:p>
          <w:p w14:paraId="001D170A">
            <w:pPr>
              <w:rPr>
                <w:color w:val="auto"/>
              </w:rPr>
            </w:pPr>
            <w:r>
              <w:rPr>
                <w:rFonts w:hint="eastAsia"/>
                <w:color w:val="auto"/>
              </w:rPr>
              <w:t>4</w:t>
            </w:r>
          </w:p>
        </w:tc>
        <w:tc>
          <w:tcPr>
            <w:tcW w:w="371" w:type="pct"/>
            <w:gridSpan w:val="2"/>
            <w:vMerge w:val="restart"/>
            <w:tcBorders>
              <w:left w:val="nil"/>
              <w:right w:val="single" w:color="auto" w:sz="6" w:space="0"/>
            </w:tcBorders>
          </w:tcPr>
          <w:p w14:paraId="2D8D427D">
            <w:pPr>
              <w:spacing w:line="400" w:lineRule="exact"/>
              <w:rPr>
                <w:rFonts w:ascii="宋体" w:hAnsi="宋体" w:cs="宋体"/>
                <w:color w:val="auto"/>
                <w:szCs w:val="21"/>
              </w:rPr>
            </w:pPr>
          </w:p>
          <w:p w14:paraId="6B799D71">
            <w:pPr>
              <w:spacing w:line="400" w:lineRule="exact"/>
              <w:rPr>
                <w:rFonts w:ascii="宋体" w:hAnsi="宋体" w:cs="宋体"/>
                <w:color w:val="auto"/>
                <w:szCs w:val="21"/>
              </w:rPr>
            </w:pPr>
          </w:p>
          <w:p w14:paraId="4D46AFDB">
            <w:pPr>
              <w:spacing w:line="400" w:lineRule="exact"/>
              <w:rPr>
                <w:rFonts w:ascii="宋体" w:hAnsi="宋体" w:cs="宋体"/>
                <w:color w:val="auto"/>
                <w:szCs w:val="21"/>
              </w:rPr>
            </w:pPr>
          </w:p>
          <w:p w14:paraId="3389E2F4">
            <w:pPr>
              <w:spacing w:line="400" w:lineRule="exact"/>
              <w:rPr>
                <w:rFonts w:ascii="宋体" w:hAnsi="宋体" w:cs="宋体"/>
                <w:color w:val="auto"/>
                <w:szCs w:val="21"/>
              </w:rPr>
            </w:pPr>
          </w:p>
          <w:p w14:paraId="13EBEDE0">
            <w:pPr>
              <w:spacing w:line="400" w:lineRule="exact"/>
              <w:rPr>
                <w:rFonts w:ascii="宋体" w:hAnsi="宋体" w:cs="宋体"/>
                <w:color w:val="auto"/>
                <w:szCs w:val="21"/>
              </w:rPr>
            </w:pPr>
          </w:p>
          <w:p w14:paraId="3FA5140C">
            <w:pPr>
              <w:spacing w:line="400" w:lineRule="exact"/>
              <w:rPr>
                <w:rFonts w:ascii="宋体" w:hAnsi="宋体" w:cs="宋体"/>
                <w:color w:val="auto"/>
                <w:szCs w:val="21"/>
              </w:rPr>
            </w:pPr>
          </w:p>
          <w:p w14:paraId="565E0EC3">
            <w:pPr>
              <w:spacing w:line="400" w:lineRule="exact"/>
              <w:rPr>
                <w:rFonts w:ascii="宋体" w:hAnsi="宋体" w:cs="宋体"/>
                <w:color w:val="auto"/>
                <w:szCs w:val="21"/>
              </w:rPr>
            </w:pPr>
          </w:p>
          <w:p w14:paraId="0A2F6D1F">
            <w:pPr>
              <w:spacing w:line="400" w:lineRule="exact"/>
              <w:rPr>
                <w:rFonts w:ascii="宋体" w:hAnsi="宋体" w:cs="宋体"/>
                <w:color w:val="auto"/>
                <w:szCs w:val="21"/>
              </w:rPr>
            </w:pPr>
          </w:p>
          <w:p w14:paraId="0383952C">
            <w:pPr>
              <w:spacing w:line="400" w:lineRule="exact"/>
              <w:rPr>
                <w:rFonts w:ascii="宋体" w:hAnsi="宋体" w:cs="宋体"/>
                <w:color w:val="auto"/>
                <w:szCs w:val="21"/>
              </w:rPr>
            </w:pPr>
          </w:p>
          <w:p w14:paraId="5A14D679">
            <w:pPr>
              <w:spacing w:line="400" w:lineRule="exact"/>
              <w:rPr>
                <w:rFonts w:ascii="宋体" w:hAnsi="宋体" w:cs="宋体"/>
                <w:color w:val="auto"/>
                <w:szCs w:val="21"/>
              </w:rPr>
            </w:pPr>
            <w:r>
              <w:rPr>
                <w:rFonts w:hint="eastAsia" w:ascii="宋体" w:hAnsi="宋体" w:cs="宋体"/>
                <w:color w:val="auto"/>
                <w:szCs w:val="21"/>
              </w:rPr>
              <w:t>《网店推广职业技能等级认定培训资源包》课 程微课模  块资源开</w:t>
            </w:r>
          </w:p>
          <w:p w14:paraId="1F0C12AB">
            <w:pPr>
              <w:spacing w:line="400" w:lineRule="exact"/>
              <w:rPr>
                <w:rFonts w:ascii="宋体" w:hAnsi="宋体" w:cs="宋体"/>
                <w:color w:val="auto"/>
                <w:szCs w:val="21"/>
              </w:rPr>
            </w:pPr>
            <w:r>
              <w:rPr>
                <w:rFonts w:hint="eastAsia" w:ascii="宋体" w:hAnsi="宋体" w:cs="宋体"/>
                <w:color w:val="auto"/>
                <w:szCs w:val="21"/>
              </w:rPr>
              <w:t>发服务</w:t>
            </w:r>
          </w:p>
        </w:tc>
        <w:tc>
          <w:tcPr>
            <w:tcW w:w="371" w:type="pct"/>
            <w:tcBorders>
              <w:top w:val="single" w:color="auto" w:sz="6" w:space="0"/>
              <w:left w:val="single" w:color="auto" w:sz="6" w:space="0"/>
              <w:bottom w:val="single" w:color="auto" w:sz="4" w:space="0"/>
              <w:right w:val="single" w:color="auto" w:sz="4" w:space="0"/>
            </w:tcBorders>
            <w:tcMar>
              <w:top w:w="13" w:type="dxa"/>
              <w:left w:w="57" w:type="dxa"/>
              <w:bottom w:w="0" w:type="dxa"/>
              <w:right w:w="57" w:type="dxa"/>
            </w:tcMar>
            <w:vAlign w:val="center"/>
          </w:tcPr>
          <w:p w14:paraId="540A236D">
            <w:pPr>
              <w:spacing w:line="400" w:lineRule="exact"/>
              <w:rPr>
                <w:rFonts w:ascii="宋体" w:hAnsi="宋体" w:cs="宋体"/>
                <w:color w:val="auto"/>
                <w:szCs w:val="21"/>
              </w:rPr>
            </w:pPr>
          </w:p>
          <w:p w14:paraId="0BFB92DE">
            <w:pPr>
              <w:spacing w:line="400" w:lineRule="exact"/>
              <w:rPr>
                <w:rFonts w:ascii="宋体" w:hAnsi="宋体" w:cs="宋体"/>
                <w:color w:val="auto"/>
                <w:szCs w:val="21"/>
              </w:rPr>
            </w:pPr>
          </w:p>
          <w:p w14:paraId="5321A1F0">
            <w:pPr>
              <w:spacing w:line="400" w:lineRule="exact"/>
              <w:rPr>
                <w:rFonts w:ascii="宋体" w:hAnsi="宋体" w:cs="宋体"/>
                <w:color w:val="auto"/>
                <w:szCs w:val="21"/>
              </w:rPr>
            </w:pPr>
          </w:p>
          <w:p w14:paraId="490F98F2">
            <w:pPr>
              <w:spacing w:line="400" w:lineRule="exact"/>
              <w:rPr>
                <w:rFonts w:ascii="宋体" w:hAnsi="宋体" w:cs="宋体"/>
                <w:color w:val="auto"/>
                <w:szCs w:val="21"/>
              </w:rPr>
            </w:pPr>
          </w:p>
          <w:p w14:paraId="03FE9AF4">
            <w:pPr>
              <w:spacing w:line="400" w:lineRule="exact"/>
              <w:rPr>
                <w:rFonts w:ascii="宋体" w:hAnsi="宋体" w:cs="宋体"/>
                <w:color w:val="auto"/>
                <w:szCs w:val="21"/>
              </w:rPr>
            </w:pPr>
          </w:p>
          <w:p w14:paraId="54FB1880">
            <w:pPr>
              <w:spacing w:line="400" w:lineRule="exact"/>
              <w:rPr>
                <w:rFonts w:ascii="宋体" w:hAnsi="宋体" w:cs="宋体"/>
                <w:color w:val="auto"/>
                <w:szCs w:val="21"/>
              </w:rPr>
            </w:pPr>
          </w:p>
          <w:p w14:paraId="4DCFA17F">
            <w:pPr>
              <w:spacing w:line="400" w:lineRule="exact"/>
              <w:rPr>
                <w:rFonts w:ascii="宋体" w:hAnsi="宋体" w:cs="宋体"/>
                <w:color w:val="auto"/>
                <w:szCs w:val="21"/>
              </w:rPr>
            </w:pPr>
          </w:p>
          <w:p w14:paraId="48B3BE85">
            <w:pPr>
              <w:spacing w:line="400" w:lineRule="exact"/>
              <w:rPr>
                <w:rFonts w:ascii="宋体" w:hAnsi="宋体" w:cs="宋体"/>
                <w:color w:val="auto"/>
                <w:szCs w:val="21"/>
              </w:rPr>
            </w:pPr>
            <w:r>
              <w:rPr>
                <w:rFonts w:hint="eastAsia" w:ascii="宋体" w:hAnsi="宋体" w:cs="宋体"/>
                <w:color w:val="auto"/>
                <w:szCs w:val="21"/>
              </w:rPr>
              <w:t xml:space="preserve">《网店推广职业技能等级认定培训资源包》-课程大纲 </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24695D7">
            <w:pPr>
              <w:spacing w:line="400" w:lineRule="exact"/>
              <w:rPr>
                <w:rFonts w:ascii="宋体" w:hAnsi="宋体" w:cs="宋体"/>
                <w:color w:val="auto"/>
                <w:szCs w:val="21"/>
              </w:rPr>
            </w:pPr>
            <w:r>
              <w:rPr>
                <w:rFonts w:hint="eastAsia" w:ascii="宋体" w:hAnsi="宋体" w:cs="宋体"/>
                <w:color w:val="auto"/>
                <w:szCs w:val="21"/>
              </w:rPr>
              <w:t>《网店推广职业技能等级认定培训资源包》-课程大纲</w:t>
            </w:r>
          </w:p>
          <w:p w14:paraId="7E803D5E">
            <w:pPr>
              <w:spacing w:line="400" w:lineRule="exact"/>
              <w:rPr>
                <w:rFonts w:ascii="宋体" w:hAnsi="宋体" w:cs="宋体"/>
                <w:color w:val="auto"/>
                <w:szCs w:val="21"/>
              </w:rPr>
            </w:pPr>
            <w:r>
              <w:rPr>
                <w:rFonts w:hint="eastAsia" w:ascii="宋体" w:hAnsi="宋体" w:cs="宋体"/>
                <w:color w:val="auto"/>
                <w:szCs w:val="21"/>
              </w:rPr>
              <w:t>网店推广职业技能等级认定培训资源包课程大纲设计应以满足职业技能等级认定的需求，全面覆盖网店推广的核心知识和技能，包括课程概述、课程内容与要求、教学方法与手段、考核与评价、教学建议等。</w:t>
            </w:r>
          </w:p>
          <w:p w14:paraId="427195A9">
            <w:pPr>
              <w:spacing w:line="400" w:lineRule="exact"/>
              <w:rPr>
                <w:rFonts w:ascii="宋体" w:hAnsi="宋体" w:cs="宋体"/>
                <w:color w:val="auto"/>
                <w:szCs w:val="21"/>
              </w:rPr>
            </w:pPr>
            <w:r>
              <w:rPr>
                <w:rFonts w:hint="eastAsia" w:ascii="宋体" w:hAnsi="宋体" w:cs="宋体"/>
                <w:color w:val="auto"/>
                <w:szCs w:val="21"/>
              </w:rPr>
              <w:t>技术参数如下：</w:t>
            </w:r>
          </w:p>
          <w:p w14:paraId="3CDD74A9">
            <w:pPr>
              <w:spacing w:line="400" w:lineRule="exact"/>
              <w:rPr>
                <w:rFonts w:ascii="宋体" w:hAnsi="宋体" w:cs="宋体"/>
                <w:color w:val="auto"/>
                <w:szCs w:val="21"/>
              </w:rPr>
            </w:pPr>
            <w:r>
              <w:rPr>
                <w:rFonts w:hint="eastAsia" w:ascii="宋体" w:hAnsi="宋体" w:cs="宋体"/>
                <w:color w:val="auto"/>
                <w:szCs w:val="21"/>
              </w:rPr>
              <w:t>1、交付目标：明确课程大纲的交付目标，即确保所有学员能够清晰、完整地获取到课程大纲的内容，理解课程的学习目标、内容安排、教学方法与评估方式等关键信息。</w:t>
            </w:r>
          </w:p>
          <w:p w14:paraId="5E95B3C6">
            <w:pPr>
              <w:spacing w:line="400" w:lineRule="exact"/>
              <w:rPr>
                <w:rFonts w:ascii="宋体" w:hAnsi="宋体" w:cs="宋体"/>
                <w:color w:val="auto"/>
                <w:szCs w:val="21"/>
              </w:rPr>
            </w:pPr>
            <w:r>
              <w:rPr>
                <w:rFonts w:hint="eastAsia" w:ascii="宋体" w:hAnsi="宋体" w:cs="宋体"/>
                <w:color w:val="auto"/>
                <w:szCs w:val="21"/>
              </w:rPr>
              <w:t>▲2、交付内容：课程大纲的交付内容应包括但不限于以下几个方面：</w:t>
            </w:r>
          </w:p>
          <w:p w14:paraId="5AB7D923">
            <w:pPr>
              <w:spacing w:line="400" w:lineRule="exact"/>
              <w:rPr>
                <w:rFonts w:ascii="宋体" w:hAnsi="宋体" w:cs="宋体"/>
                <w:color w:val="auto"/>
                <w:szCs w:val="21"/>
              </w:rPr>
            </w:pPr>
            <w:r>
              <w:rPr>
                <w:rFonts w:hint="eastAsia" w:ascii="宋体" w:hAnsi="宋体" w:cs="宋体"/>
                <w:color w:val="auto"/>
                <w:szCs w:val="21"/>
              </w:rPr>
              <w:t>1）‌课程基本信息‌：课程名称、性质、目标、学时安排等。</w:t>
            </w:r>
          </w:p>
          <w:p w14:paraId="30C4C303">
            <w:pPr>
              <w:spacing w:line="400" w:lineRule="exact"/>
              <w:rPr>
                <w:rFonts w:ascii="宋体" w:hAnsi="宋体" w:cs="宋体"/>
                <w:color w:val="auto"/>
                <w:szCs w:val="21"/>
              </w:rPr>
            </w:pPr>
            <w:r>
              <w:rPr>
                <w:rFonts w:hint="eastAsia" w:ascii="宋体" w:hAnsi="宋体" w:cs="宋体"/>
                <w:color w:val="auto"/>
                <w:szCs w:val="21"/>
              </w:rPr>
              <w:t>2）‌课程内容与要求‌：详细列出各章节或模块的主题、知识点、技能要求和学习要求。</w:t>
            </w:r>
          </w:p>
          <w:p w14:paraId="018267E6">
            <w:pPr>
              <w:spacing w:line="400" w:lineRule="exact"/>
              <w:rPr>
                <w:rFonts w:ascii="宋体" w:hAnsi="宋体" w:cs="宋体"/>
                <w:color w:val="auto"/>
                <w:szCs w:val="21"/>
              </w:rPr>
            </w:pPr>
            <w:r>
              <w:rPr>
                <w:rFonts w:hint="eastAsia" w:ascii="宋体" w:hAnsi="宋体" w:cs="宋体"/>
                <w:color w:val="auto"/>
                <w:szCs w:val="21"/>
              </w:rPr>
              <w:t>3）‌教学方法与手段‌：介绍课程采用的教学方法（如课堂讲授、案例分析、小组讨论、实操训练等）和教学手段（如多媒体、视频、模拟实训软件等）。</w:t>
            </w:r>
          </w:p>
          <w:p w14:paraId="78604216">
            <w:pPr>
              <w:spacing w:line="400" w:lineRule="exact"/>
              <w:rPr>
                <w:rFonts w:ascii="宋体" w:hAnsi="宋体" w:cs="宋体"/>
                <w:color w:val="auto"/>
                <w:szCs w:val="21"/>
              </w:rPr>
            </w:pPr>
            <w:r>
              <w:rPr>
                <w:rFonts w:hint="eastAsia" w:ascii="宋体" w:hAnsi="宋体" w:cs="宋体"/>
                <w:color w:val="auto"/>
                <w:szCs w:val="21"/>
              </w:rPr>
              <w:t>4）‌考核与评价‌：明确考核方式和评价标准，包括平时过程考核和期末理论考核的具体要求。</w:t>
            </w:r>
          </w:p>
          <w:p w14:paraId="3CFD5720">
            <w:pPr>
              <w:spacing w:line="400" w:lineRule="exact"/>
              <w:rPr>
                <w:rFonts w:ascii="宋体" w:hAnsi="宋体" w:cs="宋体"/>
                <w:color w:val="auto"/>
                <w:szCs w:val="21"/>
              </w:rPr>
            </w:pPr>
            <w:r>
              <w:rPr>
                <w:rFonts w:hint="eastAsia" w:ascii="宋体" w:hAnsi="宋体" w:cs="宋体"/>
                <w:color w:val="auto"/>
                <w:szCs w:val="21"/>
              </w:rPr>
              <w:t>5）‌教学建议‌：提供关于学时分配、教学组织、教材与参考资料等方面的建议。</w:t>
            </w:r>
          </w:p>
          <w:p w14:paraId="0AC3BA43">
            <w:pPr>
              <w:spacing w:line="400" w:lineRule="exact"/>
              <w:rPr>
                <w:rFonts w:ascii="宋体" w:hAnsi="宋体" w:cs="宋体"/>
                <w:color w:val="auto"/>
                <w:szCs w:val="21"/>
              </w:rPr>
            </w:pPr>
            <w:r>
              <w:rPr>
                <w:rFonts w:hint="eastAsia" w:ascii="宋体" w:hAnsi="宋体" w:cs="宋体"/>
                <w:color w:val="auto"/>
                <w:szCs w:val="21"/>
              </w:rPr>
              <w:t>3、交付方式</w:t>
            </w:r>
          </w:p>
          <w:p w14:paraId="70065EC8">
            <w:pPr>
              <w:spacing w:line="400" w:lineRule="exact"/>
              <w:rPr>
                <w:rFonts w:ascii="宋体" w:hAnsi="宋体" w:cs="宋体"/>
                <w:color w:val="auto"/>
                <w:szCs w:val="21"/>
              </w:rPr>
            </w:pPr>
            <w:r>
              <w:rPr>
                <w:rFonts w:hint="eastAsia" w:ascii="宋体" w:hAnsi="宋体" w:cs="宋体"/>
                <w:color w:val="auto"/>
                <w:szCs w:val="21"/>
              </w:rPr>
              <w:t>1）将课程大纲制作成PDF或Word等格式的电子文档，并将课程大纲嵌入到学校指定教学平台中，学员登录平台后即可查看和下载。</w:t>
            </w:r>
          </w:p>
          <w:p w14:paraId="0AEB5C3E">
            <w:pPr>
              <w:spacing w:line="400" w:lineRule="exact"/>
              <w:rPr>
                <w:rFonts w:ascii="宋体" w:hAnsi="宋体" w:cs="宋体"/>
                <w:color w:val="auto"/>
                <w:szCs w:val="21"/>
              </w:rPr>
            </w:pPr>
            <w:r>
              <w:rPr>
                <w:rFonts w:hint="eastAsia" w:ascii="宋体" w:hAnsi="宋体" w:cs="宋体"/>
                <w:color w:val="auto"/>
                <w:szCs w:val="21"/>
              </w:rPr>
              <w:t>‌视频讲解‌：录制课程大纲的视频讲解，上传到在线课程平台或社交媒体平台，供学员观看学习。</w:t>
            </w:r>
          </w:p>
          <w:p w14:paraId="3611D4E1">
            <w:pPr>
              <w:spacing w:line="400" w:lineRule="exact"/>
              <w:rPr>
                <w:rFonts w:ascii="宋体" w:hAnsi="宋体" w:cs="宋体"/>
                <w:color w:val="auto"/>
                <w:szCs w:val="21"/>
              </w:rPr>
            </w:pPr>
            <w:r>
              <w:rPr>
                <w:rFonts w:hint="eastAsia" w:ascii="宋体" w:hAnsi="宋体" w:cs="宋体"/>
                <w:color w:val="auto"/>
                <w:szCs w:val="21"/>
              </w:rPr>
              <w:t>4、技术支持</w:t>
            </w:r>
          </w:p>
          <w:p w14:paraId="1DFC5899">
            <w:pPr>
              <w:spacing w:line="400" w:lineRule="exact"/>
              <w:rPr>
                <w:rFonts w:ascii="宋体" w:hAnsi="宋体" w:cs="宋体"/>
                <w:color w:val="auto"/>
                <w:szCs w:val="21"/>
              </w:rPr>
            </w:pPr>
            <w:r>
              <w:rPr>
                <w:rFonts w:hint="eastAsia" w:ascii="宋体" w:hAnsi="宋体" w:cs="宋体"/>
                <w:color w:val="auto"/>
                <w:szCs w:val="21"/>
              </w:rPr>
              <w:t>1）为课程大纲配备多媒体教学资源（如PPT、图片、音频等），增强学员的学习体验和效果。</w:t>
            </w:r>
          </w:p>
          <w:p w14:paraId="7022D49C">
            <w:pPr>
              <w:spacing w:line="400" w:lineRule="exact"/>
              <w:rPr>
                <w:rFonts w:ascii="宋体" w:hAnsi="宋体" w:cs="宋体"/>
                <w:color w:val="auto"/>
                <w:szCs w:val="21"/>
              </w:rPr>
            </w:pPr>
            <w:r>
              <w:rPr>
                <w:rFonts w:hint="eastAsia" w:ascii="宋体" w:hAnsi="宋体" w:cs="宋体"/>
                <w:color w:val="auto"/>
                <w:szCs w:val="21"/>
              </w:rPr>
              <w:t>2）配合校方利用在线问卷、讨论区等互动工具收集学员对课程大纲的反馈意见，以便及时调整和优化交付方案。</w:t>
            </w:r>
          </w:p>
          <w:p w14:paraId="14E09311">
            <w:pPr>
              <w:spacing w:line="400" w:lineRule="exact"/>
              <w:rPr>
                <w:rFonts w:ascii="宋体" w:hAnsi="宋体" w:cs="宋体"/>
                <w:color w:val="auto"/>
                <w:szCs w:val="21"/>
              </w:rPr>
            </w:pPr>
            <w:r>
              <w:rPr>
                <w:rFonts w:hint="eastAsia" w:ascii="宋体" w:hAnsi="宋体" w:cs="宋体"/>
                <w:color w:val="auto"/>
                <w:szCs w:val="21"/>
              </w:rPr>
              <w:t>5、交付效果评估</w:t>
            </w:r>
          </w:p>
          <w:p w14:paraId="0F40BBF8">
            <w:pPr>
              <w:spacing w:line="400" w:lineRule="exact"/>
              <w:rPr>
                <w:rFonts w:ascii="宋体" w:hAnsi="宋体" w:cs="宋体"/>
                <w:color w:val="auto"/>
                <w:szCs w:val="21"/>
              </w:rPr>
            </w:pPr>
            <w:r>
              <w:rPr>
                <w:rFonts w:hint="eastAsia" w:ascii="宋体" w:hAnsi="宋体" w:cs="宋体"/>
                <w:color w:val="auto"/>
                <w:szCs w:val="21"/>
              </w:rPr>
              <w:t>1）‌学员满意度调查‌：通过问卷调查等方式收集学员对课程大纲交付效果的满意度反馈。</w:t>
            </w:r>
          </w:p>
          <w:p w14:paraId="277A820F">
            <w:pPr>
              <w:spacing w:line="400" w:lineRule="exact"/>
              <w:rPr>
                <w:rFonts w:ascii="宋体" w:hAnsi="宋体" w:cs="宋体"/>
                <w:color w:val="auto"/>
                <w:szCs w:val="21"/>
              </w:rPr>
            </w:pPr>
            <w:r>
              <w:rPr>
                <w:rFonts w:hint="eastAsia" w:ascii="宋体" w:hAnsi="宋体" w:cs="宋体"/>
                <w:color w:val="auto"/>
                <w:szCs w:val="21"/>
              </w:rPr>
              <w:t>2）‌学习效果评估‌：通过平时作业、课堂讨论、实操训练等考核方式评估学员对课程大纲内容的掌握程度和应用能力。</w:t>
            </w:r>
          </w:p>
          <w:p w14:paraId="6B2B6FD3">
            <w:pPr>
              <w:spacing w:line="400" w:lineRule="exact"/>
              <w:rPr>
                <w:rFonts w:ascii="宋体" w:hAnsi="宋体" w:cs="宋体"/>
                <w:color w:val="auto"/>
                <w:szCs w:val="21"/>
              </w:rPr>
            </w:pPr>
            <w:r>
              <w:rPr>
                <w:rFonts w:hint="eastAsia" w:ascii="宋体" w:hAnsi="宋体" w:cs="宋体"/>
                <w:color w:val="auto"/>
                <w:szCs w:val="21"/>
              </w:rPr>
              <w:t>3）‌持续改进‌：根据学员满意度调查和学习效果评估的结果，不断调整和优化课程大纲的交付技术方案，提高交付效果和学习成效。</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C3C1561">
            <w:pPr>
              <w:spacing w:line="400" w:lineRule="exact"/>
              <w:jc w:val="center"/>
              <w:rPr>
                <w:rFonts w:ascii="宋体" w:hAnsi="宋体" w:cs="宋体"/>
                <w:color w:val="auto"/>
                <w:szCs w:val="21"/>
              </w:rPr>
            </w:pPr>
            <w:r>
              <w:rPr>
                <w:rFonts w:hint="eastAsia" w:ascii="宋体" w:hAnsi="宋体" w:cs="宋体"/>
                <w:color w:val="auto"/>
                <w:szCs w:val="21"/>
              </w:rPr>
              <w:t>份</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C1DF72C">
            <w:pPr>
              <w:spacing w:line="400" w:lineRule="exact"/>
              <w:jc w:val="center"/>
              <w:rPr>
                <w:rFonts w:ascii="宋体" w:hAnsi="宋体" w:cs="宋体"/>
                <w:color w:val="auto"/>
                <w:szCs w:val="21"/>
              </w:rPr>
            </w:pPr>
            <w:r>
              <w:rPr>
                <w:rFonts w:hint="eastAsia" w:ascii="宋体" w:hAnsi="宋体" w:cs="宋体"/>
                <w:color w:val="auto"/>
                <w:szCs w:val="21"/>
              </w:rPr>
              <w:t>1</w:t>
            </w:r>
          </w:p>
        </w:tc>
        <w:tc>
          <w:tcPr>
            <w:tcW w:w="273" w:type="pct"/>
            <w:tcBorders>
              <w:top w:val="single" w:color="auto" w:sz="4" w:space="0"/>
              <w:left w:val="nil"/>
              <w:bottom w:val="single" w:color="auto" w:sz="4" w:space="0"/>
              <w:right w:val="single" w:color="auto" w:sz="4" w:space="0"/>
            </w:tcBorders>
            <w:vAlign w:val="center"/>
          </w:tcPr>
          <w:p w14:paraId="2621D65C">
            <w:pPr>
              <w:spacing w:line="400" w:lineRule="exact"/>
              <w:jc w:val="center"/>
              <w:rPr>
                <w:rFonts w:ascii="宋体" w:hAnsi="宋体" w:cs="宋体"/>
                <w:color w:val="auto"/>
                <w:szCs w:val="21"/>
              </w:rPr>
            </w:pPr>
            <w:r>
              <w:rPr>
                <w:rFonts w:hint="eastAsia" w:ascii="宋体" w:hAnsi="宋体" w:cs="宋体"/>
                <w:color w:val="auto"/>
                <w:szCs w:val="21"/>
              </w:rPr>
              <w:t>2000</w:t>
            </w:r>
          </w:p>
        </w:tc>
      </w:tr>
      <w:tr w14:paraId="3A63871F">
        <w:tblPrEx>
          <w:tblCellMar>
            <w:top w:w="0" w:type="dxa"/>
            <w:left w:w="0" w:type="dxa"/>
            <w:bottom w:w="0" w:type="dxa"/>
            <w:right w:w="0" w:type="dxa"/>
          </w:tblCellMar>
        </w:tblPrEx>
        <w:trPr>
          <w:trHeight w:val="567" w:hRule="atLeast"/>
        </w:trPr>
        <w:tc>
          <w:tcPr>
            <w:tcW w:w="258" w:type="pct"/>
            <w:vMerge w:val="continue"/>
            <w:tcBorders>
              <w:left w:val="single" w:color="auto" w:sz="4" w:space="0"/>
              <w:right w:val="single" w:color="auto" w:sz="4" w:space="0"/>
            </w:tcBorders>
            <w:tcMar>
              <w:top w:w="13" w:type="dxa"/>
              <w:left w:w="57" w:type="dxa"/>
              <w:bottom w:w="0" w:type="dxa"/>
              <w:right w:w="57" w:type="dxa"/>
            </w:tcMar>
            <w:vAlign w:val="center"/>
          </w:tcPr>
          <w:p w14:paraId="2B3CF14F">
            <w:pPr>
              <w:rPr>
                <w:color w:val="auto"/>
              </w:rPr>
            </w:pPr>
          </w:p>
        </w:tc>
        <w:tc>
          <w:tcPr>
            <w:tcW w:w="371" w:type="pct"/>
            <w:gridSpan w:val="2"/>
            <w:vMerge w:val="continue"/>
            <w:tcBorders>
              <w:left w:val="nil"/>
              <w:right w:val="single" w:color="auto" w:sz="6" w:space="0"/>
            </w:tcBorders>
          </w:tcPr>
          <w:p w14:paraId="620C8C50">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4" w:space="0"/>
              <w:right w:val="single" w:color="auto" w:sz="4" w:space="0"/>
            </w:tcBorders>
            <w:tcMar>
              <w:top w:w="13" w:type="dxa"/>
              <w:left w:w="57" w:type="dxa"/>
              <w:bottom w:w="0" w:type="dxa"/>
              <w:right w:w="57" w:type="dxa"/>
            </w:tcMar>
            <w:vAlign w:val="center"/>
          </w:tcPr>
          <w:p w14:paraId="51E82DDF">
            <w:pPr>
              <w:spacing w:line="400" w:lineRule="exact"/>
              <w:rPr>
                <w:rFonts w:ascii="宋体" w:hAnsi="宋体" w:cs="宋体"/>
                <w:color w:val="auto"/>
                <w:szCs w:val="21"/>
              </w:rPr>
            </w:pPr>
            <w:r>
              <w:rPr>
                <w:rFonts w:hint="eastAsia" w:ascii="宋体" w:hAnsi="宋体" w:cs="宋体"/>
                <w:color w:val="auto"/>
                <w:szCs w:val="21"/>
              </w:rPr>
              <w:t>《网店推广职业技能等级认定培训资源包》-课程标准</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8C88D38">
            <w:pPr>
              <w:spacing w:line="400" w:lineRule="exact"/>
              <w:rPr>
                <w:rFonts w:ascii="宋体" w:hAnsi="宋体" w:cs="宋体"/>
                <w:color w:val="auto"/>
                <w:szCs w:val="21"/>
              </w:rPr>
            </w:pPr>
            <w:r>
              <w:rPr>
                <w:rFonts w:hint="eastAsia" w:ascii="宋体" w:hAnsi="宋体" w:cs="宋体"/>
                <w:color w:val="auto"/>
                <w:szCs w:val="21"/>
              </w:rPr>
              <w:t>《网店推广职业技能等级认定培训资源包》-课程标准</w:t>
            </w:r>
          </w:p>
          <w:p w14:paraId="19F89639">
            <w:pPr>
              <w:spacing w:line="400" w:lineRule="exact"/>
              <w:rPr>
                <w:rFonts w:ascii="宋体" w:hAnsi="宋体" w:cs="宋体"/>
                <w:color w:val="auto"/>
                <w:szCs w:val="21"/>
              </w:rPr>
            </w:pPr>
            <w:r>
              <w:rPr>
                <w:rFonts w:hint="eastAsia" w:ascii="宋体" w:hAnsi="宋体" w:cs="宋体"/>
                <w:color w:val="auto"/>
                <w:szCs w:val="21"/>
              </w:rPr>
              <w:t>网店推广职业技能等级认定培训资源包课程标准的制定应遵循网店推广领域的最新发展趋势、行业标准和职业技能要求，明确目标学员的背景，并通过‌市场调研收集同类课程的标准、教材、教学资源等信息，为保证课程标准的可实施行。</w:t>
            </w:r>
          </w:p>
          <w:p w14:paraId="641105D0">
            <w:pPr>
              <w:spacing w:line="400" w:lineRule="exact"/>
              <w:rPr>
                <w:rFonts w:ascii="宋体" w:hAnsi="宋体" w:cs="宋体"/>
                <w:color w:val="auto"/>
                <w:szCs w:val="21"/>
              </w:rPr>
            </w:pPr>
            <w:r>
              <w:rPr>
                <w:rFonts w:hint="eastAsia" w:ascii="宋体" w:hAnsi="宋体" w:cs="宋体"/>
                <w:color w:val="auto"/>
                <w:szCs w:val="21"/>
              </w:rPr>
              <w:t>技术参数如下：</w:t>
            </w:r>
          </w:p>
          <w:p w14:paraId="0497589A">
            <w:pPr>
              <w:spacing w:line="400" w:lineRule="exact"/>
              <w:rPr>
                <w:rFonts w:ascii="宋体" w:hAnsi="宋体" w:cs="宋体"/>
                <w:color w:val="auto"/>
                <w:szCs w:val="21"/>
              </w:rPr>
            </w:pPr>
            <w:r>
              <w:rPr>
                <w:rFonts w:hint="eastAsia" w:ascii="宋体" w:hAnsi="宋体" w:cs="宋体"/>
                <w:color w:val="auto"/>
                <w:szCs w:val="21"/>
              </w:rPr>
              <w:t>1、课程概述</w:t>
            </w:r>
          </w:p>
          <w:p w14:paraId="789D4EDE">
            <w:pPr>
              <w:spacing w:line="400" w:lineRule="exact"/>
              <w:rPr>
                <w:rFonts w:ascii="宋体" w:hAnsi="宋体" w:cs="宋体"/>
                <w:color w:val="auto"/>
                <w:szCs w:val="21"/>
              </w:rPr>
            </w:pPr>
            <w:r>
              <w:rPr>
                <w:rFonts w:hint="eastAsia" w:ascii="宋体" w:hAnsi="宋体" w:cs="宋体"/>
                <w:color w:val="auto"/>
                <w:szCs w:val="21"/>
              </w:rPr>
              <w:t>‌性质‌：明确网店推广职业技能等级认定培训课程的性质，如专业核心课、拓展课等。</w:t>
            </w:r>
          </w:p>
          <w:p w14:paraId="4022A465">
            <w:pPr>
              <w:spacing w:line="400" w:lineRule="exact"/>
              <w:rPr>
                <w:rFonts w:ascii="宋体" w:hAnsi="宋体" w:cs="宋体"/>
                <w:color w:val="auto"/>
                <w:szCs w:val="21"/>
              </w:rPr>
            </w:pPr>
            <w:r>
              <w:rPr>
                <w:rFonts w:hint="eastAsia" w:ascii="宋体" w:hAnsi="宋体" w:cs="宋体"/>
                <w:color w:val="auto"/>
                <w:szCs w:val="21"/>
              </w:rPr>
              <w:t>‌定位‌：阐述课程在职业教育体系中的位置和作用。</w:t>
            </w:r>
          </w:p>
          <w:p w14:paraId="72B6310D">
            <w:pPr>
              <w:spacing w:line="400" w:lineRule="exact"/>
              <w:rPr>
                <w:rFonts w:ascii="宋体" w:hAnsi="宋体" w:cs="宋体"/>
                <w:color w:val="auto"/>
                <w:szCs w:val="21"/>
              </w:rPr>
            </w:pPr>
            <w:r>
              <w:rPr>
                <w:rFonts w:hint="eastAsia" w:ascii="宋体" w:hAnsi="宋体" w:cs="宋体"/>
                <w:color w:val="auto"/>
                <w:szCs w:val="21"/>
              </w:rPr>
              <w:t>‌设计思路‌：介绍课程设计的总体思路和理论依据。</w:t>
            </w:r>
          </w:p>
          <w:p w14:paraId="015221DE">
            <w:pPr>
              <w:spacing w:line="400" w:lineRule="exact"/>
              <w:rPr>
                <w:rFonts w:ascii="宋体" w:hAnsi="宋体" w:cs="宋体"/>
                <w:color w:val="auto"/>
                <w:szCs w:val="21"/>
              </w:rPr>
            </w:pPr>
            <w:r>
              <w:rPr>
                <w:rFonts w:hint="eastAsia" w:ascii="宋体" w:hAnsi="宋体" w:cs="宋体"/>
                <w:color w:val="auto"/>
                <w:szCs w:val="21"/>
              </w:rPr>
              <w:t>2. 教学目标</w:t>
            </w:r>
          </w:p>
          <w:p w14:paraId="7ABF42F0">
            <w:pPr>
              <w:spacing w:line="400" w:lineRule="exact"/>
              <w:rPr>
                <w:rFonts w:ascii="宋体" w:hAnsi="宋体" w:cs="宋体"/>
                <w:color w:val="auto"/>
                <w:szCs w:val="21"/>
              </w:rPr>
            </w:pPr>
            <w:r>
              <w:rPr>
                <w:rFonts w:hint="eastAsia" w:ascii="宋体" w:hAnsi="宋体" w:cs="宋体"/>
                <w:color w:val="auto"/>
                <w:szCs w:val="21"/>
              </w:rPr>
              <w:t>‌总体目标‌：明确学员通过本课程学习应达到的总体职业技能水平。</w:t>
            </w:r>
          </w:p>
          <w:p w14:paraId="08DCAEC6">
            <w:pPr>
              <w:spacing w:line="400" w:lineRule="exact"/>
              <w:rPr>
                <w:rFonts w:ascii="宋体" w:hAnsi="宋体" w:cs="宋体"/>
                <w:color w:val="auto"/>
                <w:szCs w:val="21"/>
              </w:rPr>
            </w:pPr>
            <w:r>
              <w:rPr>
                <w:rFonts w:hint="eastAsia" w:ascii="宋体" w:hAnsi="宋体" w:cs="宋体"/>
                <w:color w:val="auto"/>
                <w:szCs w:val="21"/>
              </w:rPr>
              <w:t>‌具体目标‌：细化为知识目标、能力目标和素质目标，确保目标的可衡量性和可达成性。</w:t>
            </w:r>
          </w:p>
          <w:p w14:paraId="2087839F">
            <w:pPr>
              <w:spacing w:line="400" w:lineRule="exact"/>
              <w:rPr>
                <w:rFonts w:ascii="宋体" w:hAnsi="宋体" w:cs="宋体"/>
                <w:color w:val="auto"/>
                <w:szCs w:val="21"/>
              </w:rPr>
            </w:pPr>
            <w:r>
              <w:rPr>
                <w:rFonts w:hint="eastAsia" w:ascii="宋体" w:hAnsi="宋体" w:cs="宋体"/>
                <w:color w:val="auto"/>
                <w:szCs w:val="21"/>
              </w:rPr>
              <w:t>3. 与前后课程的联系</w:t>
            </w:r>
          </w:p>
          <w:p w14:paraId="21B17B73">
            <w:pPr>
              <w:spacing w:line="400" w:lineRule="exact"/>
              <w:rPr>
                <w:rFonts w:ascii="宋体" w:hAnsi="宋体" w:cs="宋体"/>
                <w:color w:val="auto"/>
                <w:szCs w:val="21"/>
              </w:rPr>
            </w:pPr>
            <w:r>
              <w:rPr>
                <w:rFonts w:hint="eastAsia" w:ascii="宋体" w:hAnsi="宋体" w:cs="宋体"/>
                <w:color w:val="auto"/>
                <w:szCs w:val="21"/>
              </w:rPr>
              <w:t>‌前序课程‌：列出学员在学习本课程前应完成的相关课程或知识准备。</w:t>
            </w:r>
          </w:p>
          <w:p w14:paraId="76880355">
            <w:pPr>
              <w:spacing w:line="400" w:lineRule="exact"/>
              <w:rPr>
                <w:rFonts w:ascii="宋体" w:hAnsi="宋体" w:cs="宋体"/>
                <w:color w:val="auto"/>
                <w:szCs w:val="21"/>
              </w:rPr>
            </w:pPr>
            <w:r>
              <w:rPr>
                <w:rFonts w:hint="eastAsia" w:ascii="宋体" w:hAnsi="宋体" w:cs="宋体"/>
                <w:color w:val="auto"/>
                <w:szCs w:val="21"/>
              </w:rPr>
              <w:t>‌后续课程‌：说明本课程为后续课程学习奠定的基础或提供的支持。</w:t>
            </w:r>
          </w:p>
          <w:p w14:paraId="24312EAC">
            <w:pPr>
              <w:spacing w:line="400" w:lineRule="exact"/>
              <w:rPr>
                <w:rFonts w:ascii="宋体" w:hAnsi="宋体" w:cs="宋体"/>
                <w:color w:val="auto"/>
                <w:szCs w:val="21"/>
              </w:rPr>
            </w:pPr>
            <w:r>
              <w:rPr>
                <w:rFonts w:hint="eastAsia" w:ascii="宋体" w:hAnsi="宋体" w:cs="宋体"/>
                <w:color w:val="auto"/>
                <w:szCs w:val="21"/>
              </w:rPr>
              <w:t>▲4. 教学内容与学时分配</w:t>
            </w:r>
          </w:p>
          <w:p w14:paraId="143C283D">
            <w:pPr>
              <w:spacing w:line="400" w:lineRule="exact"/>
              <w:rPr>
                <w:rFonts w:ascii="宋体" w:hAnsi="宋体" w:cs="宋体"/>
                <w:color w:val="auto"/>
                <w:szCs w:val="21"/>
              </w:rPr>
            </w:pPr>
            <w:r>
              <w:rPr>
                <w:rFonts w:hint="eastAsia" w:ascii="宋体" w:hAnsi="宋体" w:cs="宋体"/>
                <w:color w:val="auto"/>
                <w:szCs w:val="21"/>
              </w:rPr>
              <w:t>‌内容规划‌：根据职业技能等级认定要求，规划详细的教学内容，包括理论知识、实践技能等。</w:t>
            </w:r>
          </w:p>
          <w:p w14:paraId="34C42313">
            <w:pPr>
              <w:spacing w:line="400" w:lineRule="exact"/>
              <w:rPr>
                <w:rFonts w:ascii="宋体" w:hAnsi="宋体" w:cs="宋体"/>
                <w:color w:val="auto"/>
                <w:szCs w:val="21"/>
              </w:rPr>
            </w:pPr>
            <w:r>
              <w:rPr>
                <w:rFonts w:hint="eastAsia" w:ascii="宋体" w:hAnsi="宋体" w:cs="宋体"/>
                <w:color w:val="auto"/>
                <w:szCs w:val="21"/>
              </w:rPr>
              <w:t>‌学时分配‌：合理安排各章节或模块的学时，确保教学时间的充分利用和教学效果的最大化。</w:t>
            </w:r>
          </w:p>
          <w:p w14:paraId="5D1451C0">
            <w:pPr>
              <w:spacing w:line="400" w:lineRule="exact"/>
              <w:rPr>
                <w:rFonts w:ascii="宋体" w:hAnsi="宋体" w:cs="宋体"/>
                <w:color w:val="auto"/>
                <w:szCs w:val="21"/>
              </w:rPr>
            </w:pPr>
            <w:r>
              <w:rPr>
                <w:rFonts w:hint="eastAsia" w:ascii="宋体" w:hAnsi="宋体" w:cs="宋体"/>
                <w:color w:val="auto"/>
                <w:szCs w:val="21"/>
              </w:rPr>
              <w:t>▲5. 模块教学设计</w:t>
            </w:r>
          </w:p>
          <w:p w14:paraId="07788C89">
            <w:pPr>
              <w:spacing w:line="400" w:lineRule="exact"/>
              <w:rPr>
                <w:rFonts w:ascii="宋体" w:hAnsi="宋体" w:cs="宋体"/>
                <w:color w:val="auto"/>
                <w:szCs w:val="21"/>
              </w:rPr>
            </w:pPr>
            <w:r>
              <w:rPr>
                <w:rFonts w:hint="eastAsia" w:ascii="宋体" w:hAnsi="宋体" w:cs="宋体"/>
                <w:color w:val="auto"/>
                <w:szCs w:val="21"/>
              </w:rPr>
              <w:t>‌模块划分‌：将教学内容划分为若干模块，每个模块聚焦特定的知识点或技能点。</w:t>
            </w:r>
          </w:p>
          <w:p w14:paraId="1A551DBF">
            <w:pPr>
              <w:spacing w:line="400" w:lineRule="exact"/>
              <w:rPr>
                <w:rFonts w:ascii="宋体" w:hAnsi="宋体" w:cs="宋体"/>
                <w:color w:val="auto"/>
                <w:szCs w:val="21"/>
              </w:rPr>
            </w:pPr>
            <w:r>
              <w:rPr>
                <w:rFonts w:hint="eastAsia" w:ascii="宋体" w:hAnsi="宋体" w:cs="宋体"/>
                <w:color w:val="auto"/>
                <w:szCs w:val="21"/>
              </w:rPr>
              <w:t>‌教学活动‌：设计多样化的教学活动，如课堂讲授、案例分析、小组讨论、实操训练等。</w:t>
            </w:r>
          </w:p>
          <w:p w14:paraId="794A22E3">
            <w:pPr>
              <w:spacing w:line="400" w:lineRule="exact"/>
              <w:rPr>
                <w:rFonts w:ascii="宋体" w:hAnsi="宋体" w:cs="宋体"/>
                <w:color w:val="auto"/>
                <w:szCs w:val="21"/>
              </w:rPr>
            </w:pPr>
            <w:r>
              <w:rPr>
                <w:rFonts w:hint="eastAsia" w:ascii="宋体" w:hAnsi="宋体" w:cs="宋体"/>
                <w:color w:val="auto"/>
                <w:szCs w:val="21"/>
              </w:rPr>
              <w:t>‌评估方式‌：为每个模块设定评估方式和标准，确保学员学习成果的准确评价。</w:t>
            </w:r>
          </w:p>
          <w:p w14:paraId="02C75695">
            <w:pPr>
              <w:spacing w:line="400" w:lineRule="exact"/>
              <w:rPr>
                <w:rFonts w:ascii="宋体" w:hAnsi="宋体" w:cs="宋体"/>
                <w:color w:val="auto"/>
                <w:szCs w:val="21"/>
              </w:rPr>
            </w:pPr>
            <w:r>
              <w:rPr>
                <w:rFonts w:hint="eastAsia" w:ascii="宋体" w:hAnsi="宋体" w:cs="宋体"/>
                <w:color w:val="auto"/>
                <w:szCs w:val="21"/>
              </w:rPr>
              <w:t>6、标准核验与修订</w:t>
            </w:r>
          </w:p>
          <w:p w14:paraId="1AC30D1E">
            <w:pPr>
              <w:spacing w:line="400" w:lineRule="exact"/>
              <w:rPr>
                <w:rFonts w:ascii="宋体" w:hAnsi="宋体" w:cs="宋体"/>
                <w:color w:val="auto"/>
                <w:szCs w:val="21"/>
              </w:rPr>
            </w:pPr>
            <w:r>
              <w:rPr>
                <w:rFonts w:hint="eastAsia" w:ascii="宋体" w:hAnsi="宋体" w:cs="宋体"/>
                <w:color w:val="auto"/>
                <w:szCs w:val="21"/>
              </w:rPr>
              <w:t>‌内部核验‌：由开发团队内部对课程标准进行初步核验，确保内容的准确性和完整性。</w:t>
            </w:r>
          </w:p>
          <w:p w14:paraId="1688585F">
            <w:pPr>
              <w:spacing w:line="400" w:lineRule="exact"/>
              <w:rPr>
                <w:rFonts w:ascii="宋体" w:hAnsi="宋体" w:cs="宋体"/>
                <w:color w:val="auto"/>
                <w:szCs w:val="21"/>
              </w:rPr>
            </w:pPr>
            <w:r>
              <w:rPr>
                <w:rFonts w:hint="eastAsia" w:ascii="宋体" w:hAnsi="宋体" w:cs="宋体"/>
                <w:color w:val="auto"/>
                <w:szCs w:val="21"/>
              </w:rPr>
              <w:t>‌专家评审‌：邀请行业专家和教育专家对课程标准进行评审，提出修改意见和建议。</w:t>
            </w:r>
          </w:p>
          <w:p w14:paraId="57DBC12A">
            <w:pPr>
              <w:spacing w:line="400" w:lineRule="exact"/>
              <w:rPr>
                <w:rFonts w:ascii="宋体" w:hAnsi="宋体" w:cs="宋体"/>
                <w:color w:val="auto"/>
                <w:szCs w:val="21"/>
              </w:rPr>
            </w:pPr>
            <w:r>
              <w:rPr>
                <w:rFonts w:hint="eastAsia" w:ascii="宋体" w:hAnsi="宋体" w:cs="宋体"/>
                <w:color w:val="auto"/>
                <w:szCs w:val="21"/>
              </w:rPr>
              <w:t>‌修订完善‌：根据评审结果对课程标准进行修订和完善，确保标准的科学性和适用性。</w:t>
            </w:r>
          </w:p>
          <w:p w14:paraId="7BA34087">
            <w:pPr>
              <w:spacing w:line="400" w:lineRule="exact"/>
              <w:rPr>
                <w:rFonts w:ascii="宋体" w:hAnsi="宋体" w:cs="宋体"/>
                <w:color w:val="auto"/>
                <w:szCs w:val="21"/>
              </w:rPr>
            </w:pPr>
            <w:r>
              <w:rPr>
                <w:rFonts w:hint="eastAsia" w:ascii="宋体" w:hAnsi="宋体" w:cs="宋体"/>
                <w:color w:val="auto"/>
                <w:szCs w:val="21"/>
              </w:rPr>
              <w:t>7、输出与发布</w:t>
            </w:r>
          </w:p>
          <w:p w14:paraId="1AAF8D28">
            <w:pPr>
              <w:spacing w:line="400" w:lineRule="exact"/>
              <w:rPr>
                <w:rFonts w:ascii="宋体" w:hAnsi="宋体" w:cs="宋体"/>
                <w:color w:val="auto"/>
                <w:szCs w:val="21"/>
              </w:rPr>
            </w:pPr>
            <w:r>
              <w:rPr>
                <w:rFonts w:hint="eastAsia" w:ascii="宋体" w:hAnsi="宋体" w:cs="宋体"/>
                <w:color w:val="auto"/>
                <w:szCs w:val="21"/>
              </w:rPr>
              <w:t>‌格式规范‌：将课程标准以Word格式输出，确保格式的规范性和易读性。</w:t>
            </w:r>
          </w:p>
          <w:p w14:paraId="32D2C761">
            <w:pPr>
              <w:spacing w:line="400" w:lineRule="exact"/>
              <w:rPr>
                <w:rFonts w:ascii="宋体" w:hAnsi="宋体" w:cs="宋体"/>
                <w:color w:val="auto"/>
                <w:szCs w:val="21"/>
              </w:rPr>
            </w:pPr>
            <w:r>
              <w:rPr>
                <w:rFonts w:hint="eastAsia" w:ascii="宋体" w:hAnsi="宋体" w:cs="宋体"/>
                <w:color w:val="auto"/>
                <w:szCs w:val="21"/>
              </w:rPr>
              <w:t>‌发布实施‌：经核验认可后，正式发布课程标准并实施教学。</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2806411">
            <w:pPr>
              <w:spacing w:line="400" w:lineRule="exact"/>
              <w:jc w:val="center"/>
              <w:rPr>
                <w:rFonts w:ascii="宋体" w:hAnsi="宋体" w:cs="宋体"/>
                <w:color w:val="auto"/>
                <w:szCs w:val="21"/>
              </w:rPr>
            </w:pPr>
            <w:r>
              <w:rPr>
                <w:rFonts w:hint="eastAsia" w:ascii="宋体" w:hAnsi="宋体" w:cs="宋体"/>
                <w:color w:val="auto"/>
                <w:szCs w:val="21"/>
              </w:rPr>
              <w:t>份</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6F03015">
            <w:pPr>
              <w:spacing w:line="400" w:lineRule="exact"/>
              <w:jc w:val="center"/>
              <w:rPr>
                <w:rFonts w:ascii="宋体" w:hAnsi="宋体" w:cs="宋体"/>
                <w:color w:val="auto"/>
                <w:szCs w:val="21"/>
              </w:rPr>
            </w:pPr>
            <w:r>
              <w:rPr>
                <w:rFonts w:hint="eastAsia" w:ascii="宋体" w:hAnsi="宋体" w:cs="宋体"/>
                <w:color w:val="auto"/>
                <w:szCs w:val="21"/>
              </w:rPr>
              <w:t>1</w:t>
            </w:r>
          </w:p>
        </w:tc>
        <w:tc>
          <w:tcPr>
            <w:tcW w:w="273" w:type="pct"/>
            <w:tcBorders>
              <w:top w:val="single" w:color="auto" w:sz="4" w:space="0"/>
              <w:left w:val="nil"/>
              <w:bottom w:val="single" w:color="auto" w:sz="4" w:space="0"/>
              <w:right w:val="single" w:color="auto" w:sz="4" w:space="0"/>
            </w:tcBorders>
            <w:vAlign w:val="center"/>
          </w:tcPr>
          <w:p w14:paraId="49434CBA">
            <w:pPr>
              <w:spacing w:line="400" w:lineRule="exact"/>
              <w:jc w:val="center"/>
              <w:rPr>
                <w:rFonts w:ascii="宋体" w:hAnsi="宋体" w:cs="宋体"/>
                <w:color w:val="auto"/>
                <w:szCs w:val="21"/>
              </w:rPr>
            </w:pPr>
            <w:r>
              <w:rPr>
                <w:rFonts w:hint="eastAsia" w:ascii="宋体" w:hAnsi="宋体" w:cs="宋体"/>
                <w:color w:val="auto"/>
                <w:szCs w:val="21"/>
              </w:rPr>
              <w:t>2380</w:t>
            </w:r>
          </w:p>
        </w:tc>
      </w:tr>
      <w:tr w14:paraId="428F5EC0">
        <w:tblPrEx>
          <w:tblCellMar>
            <w:top w:w="0" w:type="dxa"/>
            <w:left w:w="0" w:type="dxa"/>
            <w:bottom w:w="0" w:type="dxa"/>
            <w:right w:w="0" w:type="dxa"/>
          </w:tblCellMar>
        </w:tblPrEx>
        <w:trPr>
          <w:trHeight w:val="567" w:hRule="atLeast"/>
        </w:trPr>
        <w:tc>
          <w:tcPr>
            <w:tcW w:w="258" w:type="pct"/>
            <w:vMerge w:val="continue"/>
            <w:tcBorders>
              <w:left w:val="single" w:color="auto" w:sz="4" w:space="0"/>
              <w:right w:val="single" w:color="auto" w:sz="4" w:space="0"/>
            </w:tcBorders>
            <w:tcMar>
              <w:top w:w="13" w:type="dxa"/>
              <w:left w:w="57" w:type="dxa"/>
              <w:bottom w:w="0" w:type="dxa"/>
              <w:right w:w="57" w:type="dxa"/>
            </w:tcMar>
            <w:vAlign w:val="center"/>
          </w:tcPr>
          <w:p w14:paraId="5643A6B6">
            <w:pPr>
              <w:rPr>
                <w:color w:val="auto"/>
              </w:rPr>
            </w:pPr>
          </w:p>
        </w:tc>
        <w:tc>
          <w:tcPr>
            <w:tcW w:w="371" w:type="pct"/>
            <w:gridSpan w:val="2"/>
            <w:vMerge w:val="continue"/>
            <w:tcBorders>
              <w:left w:val="nil"/>
              <w:right w:val="single" w:color="auto" w:sz="6" w:space="0"/>
            </w:tcBorders>
          </w:tcPr>
          <w:p w14:paraId="678B43DE">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4" w:space="0"/>
              <w:right w:val="single" w:color="auto" w:sz="4" w:space="0"/>
            </w:tcBorders>
            <w:tcMar>
              <w:top w:w="13" w:type="dxa"/>
              <w:left w:w="57" w:type="dxa"/>
              <w:bottom w:w="0" w:type="dxa"/>
              <w:right w:w="57" w:type="dxa"/>
            </w:tcMar>
            <w:vAlign w:val="center"/>
          </w:tcPr>
          <w:p w14:paraId="6DA901DC">
            <w:pPr>
              <w:spacing w:line="400" w:lineRule="exact"/>
              <w:rPr>
                <w:rFonts w:ascii="宋体" w:hAnsi="宋体" w:cs="宋体"/>
                <w:color w:val="auto"/>
                <w:szCs w:val="21"/>
              </w:rPr>
            </w:pPr>
            <w:r>
              <w:rPr>
                <w:rFonts w:hint="eastAsia" w:ascii="宋体" w:hAnsi="宋体" w:cs="宋体"/>
                <w:color w:val="auto"/>
                <w:szCs w:val="21"/>
              </w:rPr>
              <w:t>《网店推广职业技能等级认定培训资源包》-教学课件</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FE6511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网店推广职业技能等级认定培训资源包教学课件需全面覆盖网店推广职业技能等级认定的核心内容，并依据教师具体需求进行定制化开发，以确保与课程目标和学员背景高度匹配。</w:t>
            </w:r>
          </w:p>
          <w:p w14:paraId="2C8FEDDB">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技术参数如下：</w:t>
            </w:r>
          </w:p>
          <w:p w14:paraId="4AF471E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▲1、课件内容要求</w:t>
            </w:r>
          </w:p>
          <w:p w14:paraId="19F95E7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学校信息融入：每个课件都将包含学校的LOGO、名称等信息，增强课件的归属感和品牌效应。</w:t>
            </w:r>
          </w:p>
          <w:p w14:paraId="0B1D246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内容丰富多样：每个课件将包含10页以上的教学内容，页面设置符合高清格式比例（16：9）。取材合理，信息量大，集文字、图形、图像、视频等多种媒体元素于一体，以丰富学员的学习体验。</w:t>
            </w:r>
          </w:p>
          <w:p w14:paraId="238A888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▲2、课件设计与制作</w:t>
            </w:r>
          </w:p>
          <w:p w14:paraId="1622665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结构合理：课件设计将注重结构的合理性，确保内容条理清晰，易于学员理解和掌握。</w:t>
            </w:r>
          </w:p>
          <w:p w14:paraId="6C48961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易于操作：课件将采用易于操作的界面设计，方便学员在学习过程中进行浏览、搜索和交互。</w:t>
            </w:r>
          </w:p>
          <w:p w14:paraId="41202CB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与文字教材互补：课件内容将与文字教材相互补充，形成完整的教学体系，帮助学员更全面地掌握知识点。</w:t>
            </w:r>
          </w:p>
          <w:p w14:paraId="73292BB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▲3、课件开发流程</w:t>
            </w:r>
          </w:p>
          <w:p w14:paraId="57CD4E2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1）需求分析与沟通：课程开发服务商将与校方进行深入的需求分析和沟通，明确课件的开发目标和要求。</w:t>
            </w:r>
          </w:p>
          <w:p w14:paraId="1D49F3A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2）内容规划与设计：根据需求分析结果，进行课件内容的规划与设计，制定详细的开发计划和时间表。</w:t>
            </w:r>
          </w:p>
          <w:p w14:paraId="6863F20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3）素材收集与整理：收集并整理相关的教学素材，包括文字、图片、视频等，为课件制作做好准备。</w:t>
            </w:r>
          </w:p>
          <w:p w14:paraId="57F93A0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4）课件制作与测试：利用专业的课件制作工具进行课件的制作和编辑，完成后进行严格的测试和质量把控。</w:t>
            </w:r>
          </w:p>
          <w:p w14:paraId="48F43EEA">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5）交付与验收：将制作完成的课件交付给校方进行验收，确保课件符合双方约定的标准和要求。</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9BF949D">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24DA35F">
            <w:pPr>
              <w:spacing w:line="400" w:lineRule="exact"/>
              <w:jc w:val="center"/>
              <w:rPr>
                <w:rFonts w:ascii="宋体" w:hAnsi="宋体" w:cs="宋体"/>
                <w:color w:val="auto"/>
                <w:szCs w:val="21"/>
              </w:rPr>
            </w:pPr>
            <w:r>
              <w:rPr>
                <w:rFonts w:hint="eastAsia" w:ascii="宋体" w:hAnsi="宋体" w:cs="宋体"/>
                <w:color w:val="auto"/>
                <w:szCs w:val="21"/>
              </w:rPr>
              <w:t>32</w:t>
            </w:r>
          </w:p>
        </w:tc>
        <w:tc>
          <w:tcPr>
            <w:tcW w:w="273" w:type="pct"/>
            <w:tcBorders>
              <w:top w:val="single" w:color="auto" w:sz="4" w:space="0"/>
              <w:left w:val="nil"/>
              <w:bottom w:val="single" w:color="auto" w:sz="4" w:space="0"/>
              <w:right w:val="single" w:color="auto" w:sz="4" w:space="0"/>
            </w:tcBorders>
            <w:vAlign w:val="center"/>
          </w:tcPr>
          <w:p w14:paraId="0B06D029">
            <w:pPr>
              <w:spacing w:line="400" w:lineRule="exact"/>
              <w:jc w:val="center"/>
              <w:rPr>
                <w:rFonts w:ascii="宋体" w:hAnsi="宋体" w:cs="宋体"/>
                <w:color w:val="auto"/>
                <w:szCs w:val="21"/>
              </w:rPr>
            </w:pPr>
            <w:r>
              <w:rPr>
                <w:rFonts w:hint="eastAsia" w:ascii="宋体" w:hAnsi="宋体" w:cs="宋体"/>
                <w:color w:val="auto"/>
                <w:szCs w:val="21"/>
              </w:rPr>
              <w:t>400</w:t>
            </w:r>
          </w:p>
        </w:tc>
      </w:tr>
      <w:tr w14:paraId="5C8DC9C2">
        <w:tblPrEx>
          <w:tblCellMar>
            <w:top w:w="0" w:type="dxa"/>
            <w:left w:w="0" w:type="dxa"/>
            <w:bottom w:w="0" w:type="dxa"/>
            <w:right w:w="0" w:type="dxa"/>
          </w:tblCellMar>
        </w:tblPrEx>
        <w:trPr>
          <w:trHeight w:val="567" w:hRule="atLeast"/>
        </w:trPr>
        <w:tc>
          <w:tcPr>
            <w:tcW w:w="258" w:type="pct"/>
            <w:vMerge w:val="continue"/>
            <w:tcBorders>
              <w:left w:val="single" w:color="auto" w:sz="4" w:space="0"/>
              <w:right w:val="single" w:color="auto" w:sz="4" w:space="0"/>
            </w:tcBorders>
            <w:tcMar>
              <w:top w:w="13" w:type="dxa"/>
              <w:left w:w="57" w:type="dxa"/>
              <w:bottom w:w="0" w:type="dxa"/>
              <w:right w:w="57" w:type="dxa"/>
            </w:tcMar>
            <w:vAlign w:val="center"/>
          </w:tcPr>
          <w:p w14:paraId="77C50568">
            <w:pPr>
              <w:rPr>
                <w:color w:val="auto"/>
              </w:rPr>
            </w:pPr>
          </w:p>
        </w:tc>
        <w:tc>
          <w:tcPr>
            <w:tcW w:w="371" w:type="pct"/>
            <w:gridSpan w:val="2"/>
            <w:vMerge w:val="continue"/>
            <w:tcBorders>
              <w:left w:val="nil"/>
              <w:right w:val="single" w:color="auto" w:sz="6" w:space="0"/>
            </w:tcBorders>
          </w:tcPr>
          <w:p w14:paraId="77E49944">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4" w:space="0"/>
              <w:right w:val="single" w:color="auto" w:sz="4" w:space="0"/>
            </w:tcBorders>
            <w:tcMar>
              <w:top w:w="13" w:type="dxa"/>
              <w:left w:w="57" w:type="dxa"/>
              <w:bottom w:w="0" w:type="dxa"/>
              <w:right w:w="57" w:type="dxa"/>
            </w:tcMar>
            <w:vAlign w:val="center"/>
          </w:tcPr>
          <w:p w14:paraId="7FA07B9C">
            <w:pPr>
              <w:spacing w:line="400" w:lineRule="exact"/>
              <w:rPr>
                <w:rFonts w:ascii="宋体" w:hAnsi="宋体" w:cs="宋体"/>
                <w:color w:val="auto"/>
                <w:szCs w:val="21"/>
              </w:rPr>
            </w:pPr>
            <w:r>
              <w:rPr>
                <w:rFonts w:hint="eastAsia" w:ascii="宋体" w:hAnsi="宋体" w:cs="宋体"/>
                <w:color w:val="auto"/>
                <w:szCs w:val="21"/>
              </w:rPr>
              <w:t>《网店推广职业技能等级认定培训资源包》-微课视频</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1DC2D2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网店推广职业技能等级认定培训资源包微课视频开发制作需深入了解网店推广职业技能等级认定的要求及学习需求和培训目标等，并基于需求分析设定微课视频的教学目标，包括知识传授、技能提升、问题解决能力等。</w:t>
            </w:r>
          </w:p>
          <w:p w14:paraId="6EB434A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3E24E78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技术参数如下：</w:t>
            </w:r>
          </w:p>
          <w:p w14:paraId="1D816ED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1、每个视频时长在3-5分钟。</w:t>
            </w:r>
          </w:p>
          <w:p w14:paraId="617FD98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2、视频素材编辑，后期视频非线性编辑，统一片头片尾设计制作。</w:t>
            </w:r>
          </w:p>
          <w:p w14:paraId="128D05D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3、视频压缩格式，包含字幕的 MP4 格式，视频码流率：1024Kbps - 2500Kbps；视频分辨率：各节视频的视频分辨率必须统一，统一采用高清 16:9 拍摄，设定为 1920×1080 视频画幅宽高比。</w:t>
            </w:r>
          </w:p>
          <w:p w14:paraId="7D1C7BD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4、拍摄设备要求</w:t>
            </w:r>
          </w:p>
          <w:p w14:paraId="5ABFA21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1）拍摄设备:现场摄像机要求使用专业级数字高清设备、品牌及型号一致，且为一线品牌。</w:t>
            </w:r>
          </w:p>
          <w:p w14:paraId="0FF3421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2）音频设备：现场录制要求使用专业级音频设备，保证教师和学生发言的录音质量。</w:t>
            </w:r>
          </w:p>
          <w:p w14:paraId="14DB180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3）灯光设备：专业影视摄影镝灯，LED面光灯等。</w:t>
            </w:r>
          </w:p>
          <w:p w14:paraId="056AD366">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4）辅助记忆设备：提供提词器。</w:t>
            </w:r>
          </w:p>
          <w:p w14:paraId="3680737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5）存储设备：设备及有效容量应能保证正常完成拍摄任务。</w:t>
            </w:r>
          </w:p>
          <w:p w14:paraId="37959E29">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6）后期制作设备：专业的非线性编辑系统。</w:t>
            </w:r>
          </w:p>
          <w:p w14:paraId="4D53FDF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5、视频信号源技术指标要求</w:t>
            </w:r>
          </w:p>
          <w:p w14:paraId="7D70E27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1）稳定性：全片图像同步性能稳定，无失步现象，CTL同步控制信号必须连续；图像无抖动跳跃，色彩无突变，编辑点处图像稳定。</w:t>
            </w:r>
          </w:p>
          <w:p w14:paraId="1641C00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2）信噪比：图像信噪比不低于55dB，无明显杂波。</w:t>
            </w:r>
          </w:p>
          <w:p w14:paraId="44531BB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3）色调：白平衡正确，无明显偏色，多机拍摄的镜头衔接处无明显色差。</w:t>
            </w:r>
          </w:p>
          <w:p w14:paraId="690A0500">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4）视频电平：视频全讯号幅度为1Ⅴp-p，最大不超过1.1Ⅴ p-p。其中，消隐电平为0V时，白电平幅度0.7Ⅴp-p，同步信号-0.3V，色同步信号幅度0.3V p-p (以消隐线上下对称)，全片一致。</w:t>
            </w:r>
          </w:p>
          <w:p w14:paraId="6905334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6、版权说明</w:t>
            </w:r>
          </w:p>
          <w:p w14:paraId="761131A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1）所有素材及资源制作的版权归属学校所有。</w:t>
            </w:r>
          </w:p>
          <w:p w14:paraId="2D40026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2）注意成片中所有使用的图片、音视频等素材的版权问题，规避版权风险。</w:t>
            </w:r>
          </w:p>
          <w:p w14:paraId="2B1549D6">
            <w:pPr>
              <w:pStyle w:val="123"/>
              <w:spacing w:line="400" w:lineRule="exact"/>
              <w:ind w:left="0" w:firstLine="0" w:firstLineChars="0"/>
              <w:rPr>
                <w:rFonts w:ascii="宋体" w:hAnsi="宋体"/>
                <w:color w:val="auto"/>
                <w:szCs w:val="21"/>
              </w:rPr>
            </w:pPr>
            <w:r>
              <w:rPr>
                <w:rFonts w:hint="eastAsia" w:ascii="宋体" w:hAnsi="宋体"/>
                <w:color w:val="auto"/>
                <w:szCs w:val="21"/>
              </w:rPr>
              <w:t>▲7、数字化资源内容为定制化开发内容。</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32DA9D7">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73CE63A">
            <w:pPr>
              <w:spacing w:line="400" w:lineRule="exact"/>
              <w:jc w:val="center"/>
              <w:rPr>
                <w:rFonts w:ascii="宋体" w:hAnsi="宋体" w:cs="宋体"/>
                <w:color w:val="auto"/>
                <w:szCs w:val="21"/>
              </w:rPr>
            </w:pPr>
            <w:r>
              <w:rPr>
                <w:rFonts w:hint="eastAsia" w:ascii="宋体" w:hAnsi="宋体" w:cs="宋体"/>
                <w:color w:val="auto"/>
                <w:szCs w:val="21"/>
              </w:rPr>
              <w:t>32</w:t>
            </w:r>
          </w:p>
        </w:tc>
        <w:tc>
          <w:tcPr>
            <w:tcW w:w="273" w:type="pct"/>
            <w:tcBorders>
              <w:top w:val="single" w:color="auto" w:sz="4" w:space="0"/>
              <w:left w:val="nil"/>
              <w:bottom w:val="single" w:color="auto" w:sz="4" w:space="0"/>
              <w:right w:val="single" w:color="auto" w:sz="4" w:space="0"/>
            </w:tcBorders>
            <w:vAlign w:val="center"/>
          </w:tcPr>
          <w:p w14:paraId="325AADCC">
            <w:pPr>
              <w:spacing w:line="400" w:lineRule="exact"/>
              <w:jc w:val="center"/>
              <w:rPr>
                <w:rFonts w:ascii="宋体" w:hAnsi="宋体" w:cs="宋体"/>
                <w:color w:val="auto"/>
                <w:szCs w:val="21"/>
              </w:rPr>
            </w:pPr>
            <w:r>
              <w:rPr>
                <w:rFonts w:hint="eastAsia" w:ascii="宋体" w:hAnsi="宋体" w:cs="宋体"/>
                <w:color w:val="auto"/>
                <w:szCs w:val="21"/>
              </w:rPr>
              <w:t>1000</w:t>
            </w:r>
          </w:p>
        </w:tc>
      </w:tr>
      <w:tr w14:paraId="07E2F432">
        <w:tblPrEx>
          <w:tblCellMar>
            <w:top w:w="0" w:type="dxa"/>
            <w:left w:w="0" w:type="dxa"/>
            <w:bottom w:w="0" w:type="dxa"/>
            <w:right w:w="0" w:type="dxa"/>
          </w:tblCellMar>
        </w:tblPrEx>
        <w:trPr>
          <w:trHeight w:val="567" w:hRule="atLeast"/>
        </w:trPr>
        <w:tc>
          <w:tcPr>
            <w:tcW w:w="258" w:type="pct"/>
            <w:vMerge w:val="continue"/>
            <w:tcBorders>
              <w:left w:val="single" w:color="auto" w:sz="4" w:space="0"/>
              <w:right w:val="single" w:color="auto" w:sz="4" w:space="0"/>
            </w:tcBorders>
            <w:tcMar>
              <w:top w:w="13" w:type="dxa"/>
              <w:left w:w="57" w:type="dxa"/>
              <w:bottom w:w="0" w:type="dxa"/>
              <w:right w:w="57" w:type="dxa"/>
            </w:tcMar>
            <w:vAlign w:val="center"/>
          </w:tcPr>
          <w:p w14:paraId="11A7118D">
            <w:pPr>
              <w:rPr>
                <w:color w:val="auto"/>
              </w:rPr>
            </w:pPr>
          </w:p>
        </w:tc>
        <w:tc>
          <w:tcPr>
            <w:tcW w:w="371" w:type="pct"/>
            <w:gridSpan w:val="2"/>
            <w:vMerge w:val="continue"/>
            <w:tcBorders>
              <w:left w:val="nil"/>
              <w:right w:val="single" w:color="auto" w:sz="6" w:space="0"/>
            </w:tcBorders>
          </w:tcPr>
          <w:p w14:paraId="628E6802">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4" w:space="0"/>
              <w:right w:val="single" w:color="auto" w:sz="4" w:space="0"/>
            </w:tcBorders>
            <w:tcMar>
              <w:top w:w="13" w:type="dxa"/>
              <w:left w:w="57" w:type="dxa"/>
              <w:bottom w:w="0" w:type="dxa"/>
              <w:right w:w="57" w:type="dxa"/>
            </w:tcMar>
            <w:vAlign w:val="center"/>
          </w:tcPr>
          <w:p w14:paraId="2DB509FC">
            <w:pPr>
              <w:spacing w:line="400" w:lineRule="exact"/>
              <w:rPr>
                <w:rFonts w:ascii="宋体" w:hAnsi="宋体" w:cs="宋体"/>
                <w:color w:val="auto"/>
                <w:szCs w:val="21"/>
              </w:rPr>
            </w:pPr>
            <w:r>
              <w:rPr>
                <w:rFonts w:hint="eastAsia" w:ascii="宋体" w:hAnsi="宋体" w:cs="宋体"/>
                <w:color w:val="auto"/>
                <w:szCs w:val="21"/>
              </w:rPr>
              <w:t>《网店推广职业技能等级认定培训资源包》-动画资源</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7C49C9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网店推广职业技能等级认定培训资源包动画资源开发制作需通过动画直观的表现形式，将‌网店基础知识，‌网店开设与装修、‌商品管理、‌推广方法、‌营销工具与活动、‌客户服务、‌运营效果分析等知识和技能点呈现。</w:t>
            </w:r>
          </w:p>
          <w:p w14:paraId="79705C93">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0F278454">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技术参数如下：</w:t>
            </w:r>
          </w:p>
          <w:p w14:paraId="27560F5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▲1、每个动画时长1-2分钟，选取重点知识点设计与制作原创动画。</w:t>
            </w:r>
          </w:p>
          <w:p w14:paraId="12C7181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▲2、包含动画资源的整体设计、知识点或技能点的提炼、动画脚本编写、原画设计、动画制作及专业配音等。</w:t>
            </w:r>
          </w:p>
          <w:p w14:paraId="1FE7D92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▲3、动画色彩造型应和谐，画面简洁清晰，资源知识点技能点讲解清晰，画面排版及构图合理且层次性强。</w:t>
            </w:r>
          </w:p>
          <w:p w14:paraId="603F76A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4、动画设计元素静止画面时间不超过5秒钟，动画演播过程要流畅。</w:t>
            </w:r>
          </w:p>
          <w:p w14:paraId="3C8B3E0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5、角色形象需饱满、生动、个性鲜明、特点突出，符合主题风格，人物眨眼，口型等动作按照提供的主要人物设眨眼，口型模版中的节奏和形式制作，可增加口型，但要做到颜色、风格统一。</w:t>
            </w:r>
          </w:p>
          <w:p w14:paraId="62EA969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6、主要角色要完全按照人设规范绘制。根据相应剧本文字描述来进行设计，形象既要符合整片风格，又要符合人物性格，年龄层次等，观众能容易接受和喜爱。</w:t>
            </w:r>
          </w:p>
          <w:p w14:paraId="7EE74308">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7、场景设计应与人物风格定位一致，细节展示丰富，色彩明快，清晰美观。景深感要强，透视正确、美观，色调和人物融合、一致，多角度制作，画面饱满，充实。</w:t>
            </w:r>
          </w:p>
          <w:p w14:paraId="7E0610B7">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8、保证角色人物形象和场景为设计师原创素材，不得产生产权纠纷。</w:t>
            </w:r>
          </w:p>
          <w:p w14:paraId="3BBD045C">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9、动画内容原始文件输出设置</w:t>
            </w:r>
          </w:p>
          <w:p w14:paraId="13466395">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1）Mp4格式，h264编码、动画内容制作时帧速设置范围25帧/秒。</w:t>
            </w:r>
          </w:p>
          <w:p w14:paraId="57C7636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2）输出成片分辨率不低于1920*1080。图像比16:9。</w:t>
            </w:r>
          </w:p>
          <w:p w14:paraId="4309F7BD">
            <w:pPr>
              <w:pStyle w:val="123"/>
              <w:spacing w:line="400" w:lineRule="exact"/>
              <w:ind w:left="0" w:firstLine="0" w:firstLineChars="0"/>
              <w:rPr>
                <w:rFonts w:ascii="宋体" w:hAnsi="宋体"/>
                <w:color w:val="auto"/>
                <w:szCs w:val="21"/>
              </w:rPr>
            </w:pPr>
            <w:r>
              <w:rPr>
                <w:rFonts w:hint="eastAsia" w:ascii="宋体" w:hAnsi="宋体"/>
                <w:color w:val="auto"/>
                <w:szCs w:val="21"/>
              </w:rPr>
              <w:t>▲10、制作完成的作品版权归采购人所有。</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55C2C02">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F619180">
            <w:pPr>
              <w:spacing w:line="400" w:lineRule="exact"/>
              <w:jc w:val="center"/>
              <w:rPr>
                <w:rFonts w:ascii="宋体" w:hAnsi="宋体" w:cs="宋体"/>
                <w:color w:val="auto"/>
                <w:szCs w:val="21"/>
              </w:rPr>
            </w:pPr>
            <w:r>
              <w:rPr>
                <w:rFonts w:hint="eastAsia" w:ascii="宋体" w:hAnsi="宋体" w:cs="宋体"/>
                <w:color w:val="auto"/>
                <w:szCs w:val="21"/>
              </w:rPr>
              <w:t>42</w:t>
            </w:r>
          </w:p>
        </w:tc>
        <w:tc>
          <w:tcPr>
            <w:tcW w:w="273" w:type="pct"/>
            <w:tcBorders>
              <w:top w:val="single" w:color="auto" w:sz="4" w:space="0"/>
              <w:left w:val="nil"/>
              <w:bottom w:val="single" w:color="auto" w:sz="4" w:space="0"/>
              <w:right w:val="single" w:color="auto" w:sz="4" w:space="0"/>
            </w:tcBorders>
            <w:vAlign w:val="center"/>
          </w:tcPr>
          <w:p w14:paraId="1C354031">
            <w:pPr>
              <w:spacing w:line="400" w:lineRule="exact"/>
              <w:jc w:val="center"/>
              <w:rPr>
                <w:rFonts w:ascii="宋体" w:hAnsi="宋体" w:cs="宋体"/>
                <w:color w:val="auto"/>
                <w:szCs w:val="21"/>
              </w:rPr>
            </w:pPr>
            <w:r>
              <w:rPr>
                <w:rFonts w:hint="eastAsia" w:ascii="宋体" w:hAnsi="宋体" w:cs="宋体"/>
                <w:color w:val="auto"/>
                <w:szCs w:val="21"/>
              </w:rPr>
              <w:t>1200</w:t>
            </w:r>
          </w:p>
        </w:tc>
      </w:tr>
      <w:tr w14:paraId="0BBB7C85">
        <w:tblPrEx>
          <w:tblCellMar>
            <w:top w:w="0" w:type="dxa"/>
            <w:left w:w="0" w:type="dxa"/>
            <w:bottom w:w="0" w:type="dxa"/>
            <w:right w:w="0" w:type="dxa"/>
          </w:tblCellMar>
        </w:tblPrEx>
        <w:trPr>
          <w:trHeight w:val="567" w:hRule="atLeast"/>
        </w:trPr>
        <w:tc>
          <w:tcPr>
            <w:tcW w:w="258" w:type="pct"/>
            <w:vMerge w:val="continue"/>
            <w:tcBorders>
              <w:left w:val="single" w:color="auto" w:sz="4" w:space="0"/>
              <w:bottom w:val="single" w:color="auto" w:sz="4" w:space="0"/>
              <w:right w:val="single" w:color="auto" w:sz="4" w:space="0"/>
            </w:tcBorders>
            <w:tcMar>
              <w:top w:w="13" w:type="dxa"/>
              <w:left w:w="57" w:type="dxa"/>
              <w:bottom w:w="0" w:type="dxa"/>
              <w:right w:w="57" w:type="dxa"/>
            </w:tcMar>
            <w:vAlign w:val="center"/>
          </w:tcPr>
          <w:p w14:paraId="083CDC2C">
            <w:pPr>
              <w:rPr>
                <w:color w:val="auto"/>
              </w:rPr>
            </w:pPr>
          </w:p>
        </w:tc>
        <w:tc>
          <w:tcPr>
            <w:tcW w:w="371" w:type="pct"/>
            <w:gridSpan w:val="2"/>
            <w:vMerge w:val="continue"/>
            <w:tcBorders>
              <w:left w:val="nil"/>
              <w:bottom w:val="single" w:color="auto" w:sz="4" w:space="0"/>
              <w:right w:val="single" w:color="auto" w:sz="6" w:space="0"/>
            </w:tcBorders>
          </w:tcPr>
          <w:p w14:paraId="01C4EAA9">
            <w:pPr>
              <w:spacing w:line="400" w:lineRule="exact"/>
              <w:rPr>
                <w:rFonts w:ascii="宋体" w:hAnsi="宋体" w:cs="宋体"/>
                <w:color w:val="auto"/>
                <w:szCs w:val="21"/>
              </w:rPr>
            </w:pPr>
          </w:p>
        </w:tc>
        <w:tc>
          <w:tcPr>
            <w:tcW w:w="371" w:type="pct"/>
            <w:tcBorders>
              <w:top w:val="single" w:color="auto" w:sz="6" w:space="0"/>
              <w:left w:val="single" w:color="auto" w:sz="6" w:space="0"/>
              <w:bottom w:val="single" w:color="auto" w:sz="4" w:space="0"/>
              <w:right w:val="single" w:color="auto" w:sz="4" w:space="0"/>
            </w:tcBorders>
            <w:tcMar>
              <w:top w:w="13" w:type="dxa"/>
              <w:left w:w="57" w:type="dxa"/>
              <w:bottom w:w="0" w:type="dxa"/>
              <w:right w:w="57" w:type="dxa"/>
            </w:tcMar>
            <w:vAlign w:val="center"/>
          </w:tcPr>
          <w:p w14:paraId="0B980854">
            <w:pPr>
              <w:spacing w:line="400" w:lineRule="exact"/>
              <w:rPr>
                <w:rFonts w:ascii="宋体" w:hAnsi="宋体" w:cs="宋体"/>
                <w:color w:val="auto"/>
                <w:szCs w:val="21"/>
              </w:rPr>
            </w:pPr>
            <w:r>
              <w:rPr>
                <w:rFonts w:hint="eastAsia" w:ascii="宋体" w:hAnsi="宋体" w:cs="宋体"/>
                <w:color w:val="auto"/>
                <w:szCs w:val="21"/>
              </w:rPr>
              <w:t>《网店推广职业技能等级认定培训资源包》-音频资源</w:t>
            </w:r>
          </w:p>
        </w:tc>
        <w:tc>
          <w:tcPr>
            <w:tcW w:w="3001"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C8E23A1">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网店推广职业技能等级认定培训资源包中音频资源需涵盖‌基础知识讲解，‌包括涵盖网店推广的基本概念、职业背景、市场趋势、网店开设装修、商品管理、营销推广等，并及时传达网店推广领域的最新政策、行业动态和前沿技术，加深对知识点的理解。</w:t>
            </w:r>
          </w:p>
          <w:p w14:paraId="7CDAA20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▲注：服务商应依据总体建设方向和需求，积极配合教师需求的调整与修改，且不再另外支付其他费用。</w:t>
            </w:r>
          </w:p>
          <w:p w14:paraId="778FE81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技术参数如下：</w:t>
            </w:r>
          </w:p>
          <w:p w14:paraId="4937355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1、输出格式为MP3。</w:t>
            </w:r>
          </w:p>
          <w:p w14:paraId="5AE8625D">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2、音频时长为3-5分钟。</w:t>
            </w:r>
          </w:p>
          <w:p w14:paraId="054404D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3、语音采用标准的普通话、美式或英式英语配音，特殊语言学习和材料除外，使用适合教学的语调。</w:t>
            </w:r>
          </w:p>
          <w:p w14:paraId="79157A3A">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4、音频信号源技术指标要求</w:t>
            </w:r>
          </w:p>
          <w:p w14:paraId="1D8BC2A2">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1）声道：中文内容音频信号记录于第1声道，音乐、音效、同期声记录于第2声道，若有其他文字解说记录于第3声道（如录音设备无第3声道，则录于第2声道）。</w:t>
            </w:r>
          </w:p>
          <w:p w14:paraId="586082BF">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2）电平指标：-2db — -8db声音应无明显失真、放音过冲、过弱。</w:t>
            </w:r>
          </w:p>
          <w:p w14:paraId="198C153E">
            <w:pPr>
              <w:pStyle w:val="122"/>
              <w:spacing w:line="400" w:lineRule="exact"/>
              <w:ind w:firstLine="0" w:firstLineChars="0"/>
              <w:rPr>
                <w:rFonts w:ascii="宋体" w:hAnsi="宋体" w:eastAsia="宋体" w:cs="宋体"/>
                <w:color w:val="auto"/>
                <w:szCs w:val="21"/>
              </w:rPr>
            </w:pPr>
            <w:r>
              <w:rPr>
                <w:rFonts w:hint="eastAsia" w:ascii="宋体" w:hAnsi="宋体" w:eastAsia="宋体" w:cs="宋体"/>
                <w:color w:val="auto"/>
                <w:szCs w:val="21"/>
              </w:rPr>
              <w:t>3）音频信噪比不低于48db。</w:t>
            </w:r>
          </w:p>
          <w:p w14:paraId="64A49215">
            <w:pPr>
              <w:spacing w:line="400" w:lineRule="exact"/>
              <w:rPr>
                <w:rFonts w:ascii="宋体" w:hAnsi="宋体" w:cs="宋体"/>
                <w:color w:val="auto"/>
                <w:szCs w:val="21"/>
              </w:rPr>
            </w:pPr>
            <w:r>
              <w:rPr>
                <w:rFonts w:hint="eastAsia" w:ascii="宋体" w:hAnsi="宋体" w:cs="宋体"/>
                <w:color w:val="auto"/>
                <w:szCs w:val="21"/>
              </w:rPr>
              <w:t>声音和画面要求同步，无交流声或其他杂音等缺陷。伴音清晰、饱满、圆润，无失真、噪声杂音干扰、音量忽大忽小现象。解说声与现场声无明显比例失调，解说声与背景音乐无明显比例失调。</w:t>
            </w:r>
          </w:p>
        </w:tc>
        <w:tc>
          <w:tcPr>
            <w:tcW w:w="397"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9463F05">
            <w:pPr>
              <w:spacing w:line="400" w:lineRule="exact"/>
              <w:jc w:val="center"/>
              <w:rPr>
                <w:rFonts w:ascii="宋体" w:hAnsi="宋体" w:cs="宋体"/>
                <w:color w:val="auto"/>
                <w:szCs w:val="21"/>
              </w:rPr>
            </w:pPr>
            <w:r>
              <w:rPr>
                <w:rFonts w:hint="eastAsia" w:ascii="宋体" w:hAnsi="宋体" w:cs="宋体"/>
                <w:color w:val="auto"/>
                <w:szCs w:val="21"/>
              </w:rPr>
              <w:t>个</w:t>
            </w:r>
          </w:p>
        </w:tc>
        <w:tc>
          <w:tcPr>
            <w:tcW w:w="329"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3930AE2">
            <w:pPr>
              <w:spacing w:line="400" w:lineRule="exact"/>
              <w:jc w:val="center"/>
              <w:rPr>
                <w:rFonts w:ascii="宋体" w:hAnsi="宋体" w:cs="宋体"/>
                <w:color w:val="auto"/>
                <w:szCs w:val="21"/>
              </w:rPr>
            </w:pPr>
            <w:r>
              <w:rPr>
                <w:rFonts w:hint="eastAsia" w:ascii="宋体" w:hAnsi="宋体" w:cs="宋体"/>
                <w:color w:val="auto"/>
                <w:szCs w:val="21"/>
              </w:rPr>
              <w:t>42</w:t>
            </w:r>
          </w:p>
        </w:tc>
        <w:tc>
          <w:tcPr>
            <w:tcW w:w="273" w:type="pct"/>
            <w:tcBorders>
              <w:top w:val="single" w:color="auto" w:sz="4" w:space="0"/>
              <w:left w:val="nil"/>
              <w:bottom w:val="single" w:color="auto" w:sz="4" w:space="0"/>
              <w:right w:val="single" w:color="auto" w:sz="4" w:space="0"/>
            </w:tcBorders>
            <w:vAlign w:val="center"/>
          </w:tcPr>
          <w:p w14:paraId="59252848">
            <w:pPr>
              <w:spacing w:line="400" w:lineRule="exact"/>
              <w:jc w:val="center"/>
              <w:rPr>
                <w:rFonts w:ascii="宋体" w:hAnsi="宋体" w:cs="宋体"/>
                <w:color w:val="auto"/>
                <w:szCs w:val="21"/>
              </w:rPr>
            </w:pPr>
            <w:r>
              <w:rPr>
                <w:rFonts w:hint="eastAsia" w:ascii="宋体" w:hAnsi="宋体" w:cs="宋体"/>
                <w:color w:val="auto"/>
                <w:szCs w:val="21"/>
              </w:rPr>
              <w:t>10</w:t>
            </w:r>
          </w:p>
        </w:tc>
      </w:tr>
      <w:tr w14:paraId="5B685D83">
        <w:tblPrEx>
          <w:tblCellMar>
            <w:top w:w="0" w:type="dxa"/>
            <w:left w:w="0" w:type="dxa"/>
            <w:bottom w:w="0" w:type="dxa"/>
            <w:right w:w="0" w:type="dxa"/>
          </w:tblCellMar>
        </w:tblPrEx>
        <w:trPr>
          <w:trHeight w:val="567" w:hRule="atLeast"/>
        </w:trPr>
        <w:tc>
          <w:tcPr>
            <w:tcW w:w="4001" w:type="pct"/>
            <w:gridSpan w:val="5"/>
            <w:tcBorders>
              <w:top w:val="single" w:color="auto" w:sz="4" w:space="0"/>
              <w:left w:val="single" w:color="auto" w:sz="4" w:space="0"/>
              <w:bottom w:val="single" w:color="auto" w:sz="4" w:space="0"/>
              <w:right w:val="single" w:color="auto" w:sz="4" w:space="0"/>
            </w:tcBorders>
            <w:vAlign w:val="center"/>
          </w:tcPr>
          <w:p w14:paraId="01754F1C">
            <w:pPr>
              <w:rPr>
                <w:b/>
                <w:color w:val="auto"/>
              </w:rPr>
            </w:pPr>
            <w:r>
              <w:rPr>
                <w:rFonts w:hint="eastAsia"/>
                <w:b/>
                <w:color w:val="auto"/>
              </w:rPr>
              <w:t>小计：100000元</w:t>
            </w:r>
          </w:p>
        </w:tc>
        <w:tc>
          <w:tcPr>
            <w:tcW w:w="999" w:type="pct"/>
            <w:gridSpan w:val="3"/>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C70FBCC">
            <w:pPr>
              <w:rPr>
                <w:color w:val="auto"/>
              </w:rPr>
            </w:pPr>
          </w:p>
        </w:tc>
      </w:tr>
      <w:tr w14:paraId="31C0D941">
        <w:tblPrEx>
          <w:tblCellMar>
            <w:top w:w="0" w:type="dxa"/>
            <w:left w:w="0" w:type="dxa"/>
            <w:bottom w:w="0" w:type="dxa"/>
            <w:right w:w="0" w:type="dxa"/>
          </w:tblCellMar>
        </w:tblPrEx>
        <w:trPr>
          <w:trHeight w:val="567"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A4C7AB1">
            <w:pPr>
              <w:rPr>
                <w:color w:val="auto"/>
              </w:rPr>
            </w:pPr>
            <w:r>
              <w:rPr>
                <w:rFonts w:hint="eastAsia"/>
                <w:color w:val="auto"/>
              </w:rPr>
              <w:t>▲二、商务要求</w:t>
            </w:r>
          </w:p>
        </w:tc>
      </w:tr>
      <w:tr w14:paraId="5555130B">
        <w:tblPrEx>
          <w:tblCellMar>
            <w:top w:w="0" w:type="dxa"/>
            <w:left w:w="0" w:type="dxa"/>
            <w:bottom w:w="0" w:type="dxa"/>
            <w:right w:w="0" w:type="dxa"/>
          </w:tblCellMar>
        </w:tblPrEx>
        <w:trPr>
          <w:trHeight w:val="1379" w:hRule="atLeast"/>
        </w:trPr>
        <w:tc>
          <w:tcPr>
            <w:tcW w:w="354" w:type="pct"/>
            <w:gridSpan w:val="2"/>
            <w:tcBorders>
              <w:top w:val="single" w:color="auto" w:sz="4" w:space="0"/>
              <w:left w:val="single" w:color="auto" w:sz="4" w:space="0"/>
              <w:bottom w:val="single" w:color="auto" w:sz="4" w:space="0"/>
              <w:right w:val="single" w:color="auto" w:sz="4" w:space="0"/>
            </w:tcBorders>
          </w:tcPr>
          <w:p w14:paraId="4BE722DD">
            <w:pPr>
              <w:rPr>
                <w:color w:val="auto"/>
              </w:rPr>
            </w:pPr>
          </w:p>
        </w:tc>
        <w:tc>
          <w:tcPr>
            <w:tcW w:w="4646" w:type="pct"/>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3126310">
            <w:pPr>
              <w:spacing w:line="400" w:lineRule="exact"/>
              <w:rPr>
                <w:color w:val="auto"/>
              </w:rPr>
            </w:pPr>
            <w:r>
              <w:rPr>
                <w:rFonts w:hint="eastAsia"/>
                <w:color w:val="auto"/>
              </w:rPr>
              <w:t>一、合同签订期：自成交通知书发出之日起10日内。</w:t>
            </w:r>
          </w:p>
          <w:p w14:paraId="448FF220">
            <w:pPr>
              <w:spacing w:line="400" w:lineRule="exact"/>
              <w:rPr>
                <w:color w:val="auto"/>
              </w:rPr>
            </w:pPr>
            <w:r>
              <w:rPr>
                <w:rFonts w:hint="eastAsia"/>
                <w:color w:val="auto"/>
              </w:rPr>
              <w:t>二、交付时间：自签订合同之日起15天内安装调试完毕并交付使用。</w:t>
            </w:r>
          </w:p>
          <w:p w14:paraId="0F057DC7">
            <w:pPr>
              <w:spacing w:line="400" w:lineRule="exact"/>
              <w:rPr>
                <w:color w:val="auto"/>
              </w:rPr>
            </w:pPr>
            <w:r>
              <w:rPr>
                <w:rFonts w:hint="eastAsia"/>
                <w:color w:val="auto"/>
              </w:rPr>
              <w:t>三、交付地点：采购人指定地点</w:t>
            </w:r>
          </w:p>
          <w:p w14:paraId="02D6FD6C">
            <w:pPr>
              <w:spacing w:line="400" w:lineRule="exact"/>
              <w:rPr>
                <w:color w:val="auto"/>
              </w:rPr>
            </w:pPr>
            <w:r>
              <w:rPr>
                <w:rFonts w:hint="eastAsia"/>
                <w:color w:val="auto"/>
              </w:rPr>
              <w:t>四、验收标准、规范：</w:t>
            </w:r>
          </w:p>
          <w:p w14:paraId="2C550906">
            <w:pPr>
              <w:spacing w:line="400" w:lineRule="exact"/>
              <w:rPr>
                <w:color w:val="auto"/>
              </w:rPr>
            </w:pPr>
            <w:r>
              <w:rPr>
                <w:rFonts w:hint="eastAsia"/>
                <w:color w:val="auto"/>
              </w:rPr>
              <w:t>1、采购单位将依据磋商文件上的技术要求和国家有关质量标准对成交人提交的货物进行初步验收，初步验收不合格的，采购单位有权不予签收；在本项目验收时，成交人如提供不符合采购文件、响应文件和采购合同规定的服务，采购单位有权拒绝接受，由此产生的一切损失均由成交人自行承担。</w:t>
            </w:r>
          </w:p>
          <w:p w14:paraId="3C12ABAD">
            <w:pPr>
              <w:spacing w:line="400" w:lineRule="exact"/>
              <w:rPr>
                <w:color w:val="auto"/>
              </w:rPr>
            </w:pPr>
            <w:r>
              <w:rPr>
                <w:rFonts w:hint="eastAsia"/>
                <w:color w:val="auto"/>
              </w:rPr>
              <w:t>2、供需双方签署项目验收证书，并自正式交付使用之日起，开始计算质保期。</w:t>
            </w:r>
          </w:p>
          <w:p w14:paraId="521351B5">
            <w:pPr>
              <w:spacing w:line="400" w:lineRule="exact"/>
              <w:rPr>
                <w:color w:val="auto"/>
              </w:rPr>
            </w:pPr>
            <w:r>
              <w:rPr>
                <w:rFonts w:hint="eastAsia"/>
                <w:color w:val="auto"/>
              </w:rPr>
              <w:t>3、验收标准</w:t>
            </w:r>
          </w:p>
          <w:p w14:paraId="2D509713">
            <w:pPr>
              <w:spacing w:line="400" w:lineRule="exact"/>
              <w:rPr>
                <w:color w:val="auto"/>
              </w:rPr>
            </w:pPr>
            <w:r>
              <w:rPr>
                <w:rFonts w:hint="eastAsia"/>
                <w:color w:val="auto"/>
              </w:rPr>
              <w:t>1）项目采购文件及成交人响应文件中的“技术需求偏离表”，逐条验收；</w:t>
            </w:r>
          </w:p>
          <w:p w14:paraId="127FBCDD">
            <w:pPr>
              <w:spacing w:line="400" w:lineRule="exact"/>
              <w:rPr>
                <w:color w:val="auto"/>
              </w:rPr>
            </w:pPr>
            <w:r>
              <w:rPr>
                <w:rFonts w:hint="eastAsia"/>
                <w:color w:val="auto"/>
              </w:rPr>
              <w:t>2）项目采购文件及成交人响应文件中的“商务条款偏离表”，逐条验收；</w:t>
            </w:r>
          </w:p>
          <w:p w14:paraId="6CE1B5DA">
            <w:pPr>
              <w:spacing w:line="400" w:lineRule="exact"/>
              <w:rPr>
                <w:color w:val="auto"/>
              </w:rPr>
            </w:pPr>
            <w:r>
              <w:rPr>
                <w:rFonts w:hint="eastAsia"/>
                <w:color w:val="auto"/>
              </w:rPr>
              <w:t>3）成交人响应文件中其他技术、服务、商务性的说明、承诺事项，逐条验收；</w:t>
            </w:r>
          </w:p>
          <w:p w14:paraId="1A011FF7">
            <w:pPr>
              <w:spacing w:line="400" w:lineRule="exact"/>
              <w:rPr>
                <w:color w:val="auto"/>
              </w:rPr>
            </w:pPr>
            <w:r>
              <w:rPr>
                <w:rFonts w:hint="eastAsia"/>
                <w:color w:val="auto"/>
              </w:rPr>
              <w:t>4）国家相关法律、法规、标准和规范等；</w:t>
            </w:r>
          </w:p>
          <w:p w14:paraId="747C7E16">
            <w:pPr>
              <w:spacing w:line="400" w:lineRule="exact"/>
              <w:rPr>
                <w:color w:val="auto"/>
              </w:rPr>
            </w:pPr>
            <w:r>
              <w:rPr>
                <w:rFonts w:hint="eastAsia"/>
                <w:color w:val="auto"/>
              </w:rPr>
              <w:t>5）执行《关于印发广西壮族自治区政府采购项目履约验收管理办法的通知》（桂财采〔2015〕22号），采用文中《广西壮族自治区政府采购项目合同验收书》格式文本等规范。</w:t>
            </w:r>
          </w:p>
          <w:p w14:paraId="1A2296E6">
            <w:pPr>
              <w:spacing w:line="400" w:lineRule="exact"/>
              <w:rPr>
                <w:color w:val="auto"/>
              </w:rPr>
            </w:pPr>
            <w:r>
              <w:rPr>
                <w:rFonts w:hint="eastAsia"/>
                <w:color w:val="auto"/>
              </w:rPr>
              <w:t>五、售后服务要求：</w:t>
            </w:r>
          </w:p>
          <w:p w14:paraId="73C9103E">
            <w:pPr>
              <w:spacing w:line="400" w:lineRule="exact"/>
              <w:rPr>
                <w:color w:val="auto"/>
              </w:rPr>
            </w:pPr>
            <w:r>
              <w:rPr>
                <w:rFonts w:hint="eastAsia"/>
                <w:color w:val="auto"/>
              </w:rPr>
              <w:t>1、质量保证期：12个月，自验收合格之日起计算，提供课程维护、运行及技术支持服务。</w:t>
            </w:r>
          </w:p>
          <w:p w14:paraId="5B0A0393">
            <w:pPr>
              <w:spacing w:line="400" w:lineRule="exact"/>
              <w:rPr>
                <w:color w:val="auto"/>
              </w:rPr>
            </w:pPr>
            <w:r>
              <w:rPr>
                <w:rFonts w:hint="eastAsia"/>
                <w:color w:val="auto"/>
              </w:rPr>
              <w:t>2、成交供应商应对教学资源库制作内容及其版权负责，由此产生的一切后果由成交供应商承担。</w:t>
            </w:r>
          </w:p>
          <w:p w14:paraId="2E9F8DEF">
            <w:pPr>
              <w:spacing w:line="400" w:lineRule="exact"/>
              <w:rPr>
                <w:color w:val="auto"/>
              </w:rPr>
            </w:pPr>
            <w:r>
              <w:rPr>
                <w:rFonts w:hint="eastAsia"/>
                <w:color w:val="auto"/>
              </w:rPr>
              <w:t>3、成交供应商负责向采购方提供网络、电话及EMAIL支持服务，响应时间不超过1小时，以保证教学资源库的正常使用；若远程支持无法解决问题的，成交供应商须24小时内上门服务，3天内解决。</w:t>
            </w:r>
          </w:p>
          <w:p w14:paraId="5D4409EF">
            <w:pPr>
              <w:spacing w:line="400" w:lineRule="exact"/>
              <w:rPr>
                <w:color w:val="auto"/>
              </w:rPr>
            </w:pPr>
            <w:r>
              <w:rPr>
                <w:rFonts w:hint="eastAsia"/>
                <w:color w:val="auto"/>
              </w:rPr>
              <w:t>4、成交供应商应保障采购方所购教学资源库在使用期内的完整性。成交供应商未经采购方许可，不得擅自改变采购方所购数据的服务模式。</w:t>
            </w:r>
            <w:r>
              <w:rPr>
                <w:rFonts w:hint="eastAsia"/>
                <w:color w:val="auto"/>
              </w:rPr>
              <w:cr/>
            </w:r>
            <w:r>
              <w:rPr>
                <w:rFonts w:hint="eastAsia"/>
                <w:color w:val="auto"/>
              </w:rPr>
              <w:t>5、成交供应商须定时向采购方通报教学资源库拍摄进展情况和资料。</w:t>
            </w:r>
          </w:p>
          <w:p w14:paraId="59D8F44E">
            <w:pPr>
              <w:spacing w:line="400" w:lineRule="exact"/>
              <w:rPr>
                <w:color w:val="auto"/>
              </w:rPr>
            </w:pPr>
            <w:r>
              <w:rPr>
                <w:rFonts w:hint="eastAsia"/>
                <w:color w:val="auto"/>
              </w:rPr>
              <w:t>6、其他：</w:t>
            </w:r>
          </w:p>
          <w:p w14:paraId="2F615FD1">
            <w:pPr>
              <w:spacing w:line="400" w:lineRule="exact"/>
              <w:rPr>
                <w:color w:val="auto"/>
              </w:rPr>
            </w:pPr>
            <w:r>
              <w:rPr>
                <w:rFonts w:hint="eastAsia"/>
                <w:color w:val="auto"/>
              </w:rPr>
              <w:t>知识产权：1）供应商需提供软件的报告、资料、文件等内容及服务成果，采购单位享有充分、完整和排他的著作权和知识产权。未经采购单位书面许可，供应商不得向任何第三方提供上述报告、资料、文件、用户信息等内容及服务成果。即使向履行有关的人员提供，也应注意保密并限于履行合同的必需范围。2）供应商应严格遵守相关的知识产权及软件版权保护的法律、</w:t>
            </w:r>
            <w:r>
              <w:rPr>
                <w:color w:val="auto"/>
              </w:rPr>
              <w:fldChar w:fldCharType="begin"/>
            </w:r>
            <w:r>
              <w:rPr>
                <w:color w:val="auto"/>
              </w:rPr>
              <w:instrText xml:space="preserve"> HYPERLINK "http://www.chinalawedu.com/falvfagui/" \t "_blank" \o "法规" </w:instrText>
            </w:r>
            <w:r>
              <w:rPr>
                <w:color w:val="auto"/>
              </w:rPr>
              <w:fldChar w:fldCharType="separate"/>
            </w:r>
            <w:r>
              <w:rPr>
                <w:rFonts w:hint="eastAsia"/>
                <w:color w:val="auto"/>
              </w:rPr>
              <w:t>法规</w:t>
            </w:r>
            <w:r>
              <w:rPr>
                <w:rFonts w:hint="eastAsia"/>
                <w:color w:val="auto"/>
              </w:rPr>
              <w:fldChar w:fldCharType="end"/>
            </w:r>
            <w:r>
              <w:rPr>
                <w:rFonts w:hint="eastAsia"/>
                <w:color w:val="auto"/>
              </w:rPr>
              <w:t>；并在项目所规定的范围内使用本信息系统，任何供应商用于未经授权的商业目的的复制行为所造成的违约或侵权责任由供应商承担。</w:t>
            </w:r>
          </w:p>
          <w:p w14:paraId="6858E70B">
            <w:pPr>
              <w:spacing w:line="400" w:lineRule="exact"/>
              <w:rPr>
                <w:color w:val="auto"/>
              </w:rPr>
            </w:pPr>
            <w:r>
              <w:rPr>
                <w:rFonts w:hint="eastAsia"/>
                <w:color w:val="auto"/>
              </w:rPr>
              <w:t>5.7配合本项目实施需安装的其他软硬件，供应商需保证正版授权。</w:t>
            </w:r>
          </w:p>
          <w:p w14:paraId="2E0B2B04">
            <w:pPr>
              <w:spacing w:line="400" w:lineRule="exact"/>
              <w:rPr>
                <w:color w:val="auto"/>
              </w:rPr>
            </w:pPr>
            <w:r>
              <w:rPr>
                <w:rFonts w:hint="eastAsia"/>
                <w:color w:val="auto"/>
              </w:rPr>
              <w:t>六、报价要求：</w:t>
            </w:r>
          </w:p>
          <w:p w14:paraId="0DCCCD48">
            <w:pPr>
              <w:spacing w:line="400" w:lineRule="exact"/>
              <w:rPr>
                <w:color w:val="auto"/>
              </w:rPr>
            </w:pPr>
            <w:r>
              <w:rPr>
                <w:rFonts w:hint="eastAsia"/>
                <w:color w:val="auto"/>
              </w:rPr>
              <w:t>报价应为采购人指定地点的现场交货价，包括：1）货物的价格：包括货款、配件、安装调试费；2）货物的标准附件、备品备件、专用工具的价格；3）运输、保管、调试、培训、技术支持、售后服务费；4）招标代理服务费和各项税金。</w:t>
            </w:r>
          </w:p>
          <w:p w14:paraId="1DDE9284">
            <w:pPr>
              <w:spacing w:line="400" w:lineRule="exact"/>
              <w:rPr>
                <w:color w:val="auto"/>
              </w:rPr>
            </w:pPr>
            <w:r>
              <w:rPr>
                <w:rFonts w:hint="eastAsia"/>
                <w:color w:val="auto"/>
              </w:rPr>
              <w:t>七、付款方式：</w:t>
            </w:r>
          </w:p>
          <w:p w14:paraId="69EA1089">
            <w:pPr>
              <w:spacing w:line="400" w:lineRule="exact"/>
              <w:rPr>
                <w:strike/>
                <w:color w:val="auto"/>
              </w:rPr>
            </w:pPr>
            <w:r>
              <w:rPr>
                <w:rFonts w:hint="eastAsia"/>
                <w:color w:val="auto"/>
              </w:rPr>
              <w:t>7.1全部货物到达指定地点、安装调试并验收合格后，成交人开具全额增值税发票给采购人，采购人支付至总合同金额的 100%；</w:t>
            </w:r>
          </w:p>
          <w:p w14:paraId="6769EDE8">
            <w:pPr>
              <w:spacing w:line="400" w:lineRule="exact"/>
              <w:rPr>
                <w:bCs/>
                <w:color w:val="auto"/>
              </w:rPr>
            </w:pPr>
            <w:r>
              <w:rPr>
                <w:rFonts w:hint="eastAsia"/>
                <w:color w:val="auto"/>
              </w:rPr>
              <w:t>7.2、如未按国家要求开具增值税发票，一旦发现成交人提供虚假发票，除须向采购人补开合法发票外，须赔偿采购人发票票面金额一倍的违约金，且采购人有权终止合同，供应商不得提出异议，因终止合同而产生的一切损失均由成交人承担。</w:t>
            </w:r>
          </w:p>
        </w:tc>
      </w:tr>
      <w:tr w14:paraId="2522E612">
        <w:tblPrEx>
          <w:tblCellMar>
            <w:top w:w="0" w:type="dxa"/>
            <w:left w:w="0" w:type="dxa"/>
            <w:bottom w:w="0" w:type="dxa"/>
            <w:right w:w="0" w:type="dxa"/>
          </w:tblCellMar>
        </w:tblPrEx>
        <w:trPr>
          <w:trHeight w:val="567" w:hRule="atLeast"/>
        </w:trPr>
        <w:tc>
          <w:tcPr>
            <w:tcW w:w="354" w:type="pct"/>
            <w:gridSpan w:val="2"/>
            <w:tcBorders>
              <w:top w:val="single" w:color="auto" w:sz="4" w:space="0"/>
              <w:left w:val="single" w:color="auto" w:sz="4" w:space="0"/>
              <w:bottom w:val="single" w:color="auto" w:sz="4" w:space="0"/>
              <w:right w:val="single" w:color="auto" w:sz="4" w:space="0"/>
            </w:tcBorders>
          </w:tcPr>
          <w:p w14:paraId="026D7FDD">
            <w:pPr>
              <w:rPr>
                <w:color w:val="auto"/>
              </w:rPr>
            </w:pPr>
          </w:p>
        </w:tc>
        <w:tc>
          <w:tcPr>
            <w:tcW w:w="4646" w:type="pct"/>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80D4E7A">
            <w:pPr>
              <w:spacing w:line="400" w:lineRule="exact"/>
              <w:rPr>
                <w:color w:val="auto"/>
              </w:rPr>
            </w:pPr>
            <w:r>
              <w:rPr>
                <w:rFonts w:hint="eastAsia"/>
                <w:color w:val="auto"/>
              </w:rPr>
              <w:t>三、其他说明</w:t>
            </w:r>
          </w:p>
        </w:tc>
      </w:tr>
      <w:tr w14:paraId="4791A5BD">
        <w:tblPrEx>
          <w:tblCellMar>
            <w:top w:w="0" w:type="dxa"/>
            <w:left w:w="0" w:type="dxa"/>
            <w:bottom w:w="0" w:type="dxa"/>
            <w:right w:w="0" w:type="dxa"/>
          </w:tblCellMar>
        </w:tblPrEx>
        <w:trPr>
          <w:trHeight w:val="567" w:hRule="atLeast"/>
        </w:trPr>
        <w:tc>
          <w:tcPr>
            <w:tcW w:w="354" w:type="pct"/>
            <w:gridSpan w:val="2"/>
            <w:tcBorders>
              <w:top w:val="single" w:color="auto" w:sz="4" w:space="0"/>
              <w:left w:val="single" w:color="auto" w:sz="4" w:space="0"/>
              <w:bottom w:val="single" w:color="auto" w:sz="4" w:space="0"/>
              <w:right w:val="single" w:color="auto" w:sz="4" w:space="0"/>
            </w:tcBorders>
          </w:tcPr>
          <w:p w14:paraId="70D6B9CC">
            <w:pPr>
              <w:rPr>
                <w:color w:val="auto"/>
              </w:rPr>
            </w:pPr>
          </w:p>
        </w:tc>
        <w:tc>
          <w:tcPr>
            <w:tcW w:w="4646" w:type="pct"/>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D52087F">
            <w:pPr>
              <w:spacing w:line="400" w:lineRule="exact"/>
              <w:rPr>
                <w:color w:val="auto"/>
              </w:rPr>
            </w:pPr>
            <w:r>
              <w:rPr>
                <w:rFonts w:hint="eastAsia"/>
                <w:color w:val="auto"/>
              </w:rPr>
              <w:t>一、进口产品说明</w:t>
            </w:r>
          </w:p>
          <w:p w14:paraId="0BA27A43">
            <w:pPr>
              <w:spacing w:line="400" w:lineRule="exact"/>
              <w:rPr>
                <w:color w:val="auto"/>
              </w:rPr>
            </w:pPr>
            <w:r>
              <w:rPr>
                <w:rFonts w:hint="eastAsia"/>
                <w:color w:val="auto"/>
              </w:rPr>
              <w:t>□ 本表的第</w:t>
            </w:r>
            <w:r>
              <w:rPr>
                <w:rFonts w:hint="eastAsia"/>
                <w:color w:val="auto"/>
                <w:u w:val="single"/>
              </w:rPr>
              <w:t xml:space="preserve">  </w:t>
            </w:r>
            <w:r>
              <w:rPr>
                <w:rFonts w:hint="eastAsia"/>
                <w:color w:val="auto"/>
              </w:rPr>
              <w:t>项货物已按规定办妥进口产品采购审核手续，响应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w:t>
            </w:r>
            <w:r>
              <w:rPr>
                <w:rFonts w:hint="eastAsia"/>
                <w:b/>
                <w:color w:val="auto"/>
              </w:rPr>
              <w:t>否则其投标文件作无效处理。</w:t>
            </w:r>
          </w:p>
          <w:p w14:paraId="05793540">
            <w:pPr>
              <w:spacing w:line="400" w:lineRule="exact"/>
              <w:rPr>
                <w:color w:val="auto"/>
              </w:rPr>
            </w:pPr>
            <w:r>
              <w:rPr>
                <w:rFonts w:hint="eastAsia"/>
                <w:color w:val="auto"/>
              </w:rPr>
              <w:sym w:font="Wingdings 2" w:char="0052"/>
            </w:r>
            <w:r>
              <w:rPr>
                <w:rFonts w:hint="eastAsia"/>
                <w:color w:val="auto"/>
              </w:rPr>
              <w:t xml:space="preserve"> 本项目货物不接受进口产品（即通过中国海关报关验放进入中国境内且产自关境外的产品）参与投标，</w:t>
            </w:r>
            <w:r>
              <w:rPr>
                <w:rFonts w:hint="eastAsia"/>
                <w:b/>
                <w:color w:val="auto"/>
              </w:rPr>
              <w:t>如有进口产品参与投标的，其投标文件作无效处理</w:t>
            </w:r>
            <w:r>
              <w:rPr>
                <w:rFonts w:hint="eastAsia"/>
                <w:color w:val="auto"/>
              </w:rPr>
              <w:t>。</w:t>
            </w:r>
          </w:p>
          <w:p w14:paraId="7B5BEFD7">
            <w:pPr>
              <w:spacing w:line="400" w:lineRule="exact"/>
              <w:rPr>
                <w:color w:val="auto"/>
              </w:rPr>
            </w:pPr>
            <w:r>
              <w:rPr>
                <w:rFonts w:hint="eastAsia"/>
                <w:color w:val="auto"/>
              </w:rPr>
              <w:t>二、核心产品</w:t>
            </w:r>
          </w:p>
          <w:p w14:paraId="03AD0FCD">
            <w:pPr>
              <w:spacing w:line="400" w:lineRule="exact"/>
              <w:rPr>
                <w:color w:val="auto"/>
              </w:rPr>
            </w:pPr>
            <w:r>
              <w:rPr>
                <w:rFonts w:hint="eastAsia"/>
                <w:color w:val="auto"/>
              </w:rPr>
              <w:t>采用综合评分法的采购项目，提供相同品牌产品且通过资格审查、符合性审查的不同投标人参加同一合同项下投标的，按一家投标人计算，评审后得分最高的同品牌投标人获得中标人推荐资格。</w:t>
            </w:r>
          </w:p>
          <w:p w14:paraId="54203888">
            <w:pPr>
              <w:spacing w:line="400" w:lineRule="exact"/>
              <w:rPr>
                <w:color w:val="auto"/>
              </w:rPr>
            </w:pPr>
            <w:r>
              <w:rPr>
                <w:rFonts w:hint="eastAsia"/>
                <w:color w:val="auto"/>
              </w:rPr>
              <w:t>三、其他：</w:t>
            </w:r>
          </w:p>
          <w:p w14:paraId="443DC7D3">
            <w:pPr>
              <w:spacing w:line="400" w:lineRule="exact"/>
              <w:rPr>
                <w:color w:val="auto"/>
              </w:rPr>
            </w:pPr>
            <w:r>
              <w:rPr>
                <w:rFonts w:hint="eastAsia"/>
                <w:color w:val="auto"/>
              </w:rPr>
              <w:t>1、为了防止虚假应标，项目结果公示期间，若有异议，采购人有权要求拟中标（成交）方提供所投产品以供测试，确保功能参数要求均可满足；若测试达不到应答指标，以虚假应标论处。</w:t>
            </w:r>
          </w:p>
          <w:p w14:paraId="34DDF408">
            <w:pPr>
              <w:spacing w:line="400" w:lineRule="exact"/>
              <w:rPr>
                <w:color w:val="auto"/>
              </w:rPr>
            </w:pPr>
            <w:r>
              <w:rPr>
                <w:rFonts w:hint="eastAsia"/>
                <w:color w:val="auto"/>
              </w:rPr>
              <w:t>2、成交人所提供的仪器、设备、资料等主要货物均必须符合国家相关行业强制性标准。如产品实行强制标准认证制度、生产许可证制度、销售或经营许可证制度、注册证制度的，供应商均应在响应文件中提供相关有效的证书扫描件，否则评标委员会有权视所投设备不符合国家相关强制性标准而否决其响应文件。</w:t>
            </w:r>
          </w:p>
        </w:tc>
      </w:tr>
    </w:tbl>
    <w:p w14:paraId="7015BA7F">
      <w:pPr>
        <w:rPr>
          <w:rFonts w:ascii="宋体" w:hAnsi="宋体" w:cs="宋体"/>
          <w:szCs w:val="21"/>
        </w:rPr>
      </w:pPr>
      <w:r>
        <w:rPr>
          <w:rFonts w:ascii="宋体" w:hAnsi="宋体" w:cs="宋体"/>
          <w:szCs w:val="21"/>
        </w:rPr>
        <w:br w:type="page"/>
      </w:r>
    </w:p>
    <w:p w14:paraId="4BE90167">
      <w:pPr>
        <w:rPr>
          <w:sz w:val="36"/>
          <w:szCs w:val="36"/>
        </w:rPr>
      </w:pPr>
      <w:r>
        <w:rPr>
          <w:rFonts w:hint="eastAsia"/>
          <w:sz w:val="36"/>
          <w:szCs w:val="36"/>
        </w:rPr>
        <w:t>附件一：</w:t>
      </w:r>
    </w:p>
    <w:p w14:paraId="4228E6D4">
      <w:pPr>
        <w:jc w:val="center"/>
        <w:rPr>
          <w:sz w:val="36"/>
          <w:szCs w:val="36"/>
        </w:rPr>
      </w:pPr>
      <w:r>
        <w:rPr>
          <w:rFonts w:hint="eastAsia"/>
          <w:sz w:val="36"/>
          <w:szCs w:val="36"/>
        </w:rPr>
        <w:t>节能产品政府采购品目清单</w:t>
      </w:r>
    </w:p>
    <w:tbl>
      <w:tblPr>
        <w:tblStyle w:val="33"/>
        <w:tblW w:w="9220" w:type="dxa"/>
        <w:jc w:val="center"/>
        <w:tblLayout w:type="fixed"/>
        <w:tblCellMar>
          <w:top w:w="0" w:type="dxa"/>
          <w:left w:w="108" w:type="dxa"/>
          <w:bottom w:w="0" w:type="dxa"/>
          <w:right w:w="108" w:type="dxa"/>
        </w:tblCellMar>
      </w:tblPr>
      <w:tblGrid>
        <w:gridCol w:w="660"/>
        <w:gridCol w:w="1080"/>
        <w:gridCol w:w="1320"/>
        <w:gridCol w:w="1620"/>
        <w:gridCol w:w="4540"/>
      </w:tblGrid>
      <w:tr w14:paraId="24025181">
        <w:tblPrEx>
          <w:tblCellMar>
            <w:top w:w="0" w:type="dxa"/>
            <w:left w:w="108" w:type="dxa"/>
            <w:bottom w:w="0" w:type="dxa"/>
            <w:right w:w="108" w:type="dxa"/>
          </w:tblCellMar>
        </w:tblPrEx>
        <w:trPr>
          <w:trHeight w:val="555" w:hRule="atLeast"/>
          <w:jc w:val="center"/>
        </w:trPr>
        <w:tc>
          <w:tcPr>
            <w:tcW w:w="660" w:type="dxa"/>
            <w:tcBorders>
              <w:top w:val="single" w:color="000000" w:sz="8" w:space="0"/>
              <w:left w:val="single" w:color="000000" w:sz="8" w:space="0"/>
              <w:bottom w:val="single" w:color="000000" w:sz="8" w:space="0"/>
              <w:right w:val="single" w:color="000000" w:sz="8" w:space="0"/>
            </w:tcBorders>
          </w:tcPr>
          <w:p w14:paraId="5C1D1E96">
            <w:r>
              <w:rPr>
                <w:rFonts w:hint="eastAsia"/>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28B66DA9">
            <w:r>
              <w:rPr>
                <w:rFonts w:hint="eastAsia"/>
              </w:rPr>
              <w:t>名称</w:t>
            </w:r>
          </w:p>
        </w:tc>
        <w:tc>
          <w:tcPr>
            <w:tcW w:w="4540" w:type="dxa"/>
            <w:tcBorders>
              <w:top w:val="single" w:color="000000" w:sz="8" w:space="0"/>
              <w:left w:val="nil"/>
              <w:bottom w:val="single" w:color="000000" w:sz="8" w:space="0"/>
              <w:right w:val="single" w:color="000000" w:sz="8" w:space="0"/>
            </w:tcBorders>
            <w:vAlign w:val="center"/>
          </w:tcPr>
          <w:p w14:paraId="408E6708">
            <w:r>
              <w:rPr>
                <w:rFonts w:hint="eastAsia"/>
              </w:rPr>
              <w:t>依据的标准</w:t>
            </w:r>
          </w:p>
        </w:tc>
      </w:tr>
      <w:tr w14:paraId="318686A2">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257DFF8B">
            <w:r>
              <w:rPr>
                <w:rFonts w:hint="eastAsia"/>
              </w:rPr>
              <w:t>1</w:t>
            </w:r>
          </w:p>
        </w:tc>
        <w:tc>
          <w:tcPr>
            <w:tcW w:w="1080" w:type="dxa"/>
            <w:vMerge w:val="restart"/>
            <w:tcBorders>
              <w:top w:val="nil"/>
              <w:left w:val="single" w:color="000000" w:sz="8" w:space="0"/>
              <w:bottom w:val="single" w:color="000000" w:sz="8" w:space="0"/>
              <w:right w:val="single" w:color="000000" w:sz="8" w:space="0"/>
            </w:tcBorders>
            <w:vAlign w:val="center"/>
          </w:tcPr>
          <w:p w14:paraId="7C354C6E">
            <w:r>
              <w:rPr>
                <w:rFonts w:hint="eastAsia"/>
              </w:rPr>
              <w:t>A020101计算机设备</w:t>
            </w:r>
          </w:p>
        </w:tc>
        <w:tc>
          <w:tcPr>
            <w:tcW w:w="1320" w:type="dxa"/>
            <w:tcBorders>
              <w:top w:val="nil"/>
              <w:left w:val="nil"/>
              <w:bottom w:val="single" w:color="000000" w:sz="8" w:space="0"/>
              <w:right w:val="single" w:color="000000" w:sz="8" w:space="0"/>
            </w:tcBorders>
            <w:vAlign w:val="center"/>
          </w:tcPr>
          <w:p w14:paraId="31E875E4">
            <w:r>
              <w:rPr>
                <w:rFonts w:hint="eastAsia"/>
              </w:rPr>
              <w:t>★A02010104台式计算机</w:t>
            </w:r>
          </w:p>
        </w:tc>
        <w:tc>
          <w:tcPr>
            <w:tcW w:w="1620" w:type="dxa"/>
            <w:tcBorders>
              <w:top w:val="nil"/>
              <w:left w:val="nil"/>
              <w:bottom w:val="single" w:color="000000" w:sz="8" w:space="0"/>
              <w:right w:val="single" w:color="000000" w:sz="8" w:space="0"/>
            </w:tcBorders>
            <w:vAlign w:val="center"/>
          </w:tcPr>
          <w:p w14:paraId="2E65CC4E">
            <w:r>
              <w:rPr>
                <w:rFonts w:hint="eastAsia"/>
              </w:rPr>
              <w:t>　</w:t>
            </w:r>
          </w:p>
        </w:tc>
        <w:tc>
          <w:tcPr>
            <w:tcW w:w="4540" w:type="dxa"/>
            <w:tcBorders>
              <w:top w:val="nil"/>
              <w:left w:val="nil"/>
              <w:bottom w:val="single" w:color="000000" w:sz="8" w:space="0"/>
              <w:right w:val="single" w:color="000000" w:sz="8" w:space="0"/>
            </w:tcBorders>
            <w:vAlign w:val="center"/>
          </w:tcPr>
          <w:p w14:paraId="01191450">
            <w:r>
              <w:rPr>
                <w:rFonts w:hint="eastAsia"/>
              </w:rPr>
              <w:t>《微型计算机能效限定值及能效等级》（GB28380）</w:t>
            </w:r>
          </w:p>
        </w:tc>
      </w:tr>
      <w:tr w14:paraId="1E4E372F">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5942E6D8"/>
        </w:tc>
        <w:tc>
          <w:tcPr>
            <w:tcW w:w="1080" w:type="dxa"/>
            <w:vMerge w:val="continue"/>
            <w:tcBorders>
              <w:top w:val="nil"/>
              <w:left w:val="single" w:color="000000" w:sz="8" w:space="0"/>
              <w:bottom w:val="single" w:color="000000" w:sz="8" w:space="0"/>
              <w:right w:val="single" w:color="000000" w:sz="8" w:space="0"/>
            </w:tcBorders>
            <w:vAlign w:val="center"/>
          </w:tcPr>
          <w:p w14:paraId="2EE11C0B"/>
        </w:tc>
        <w:tc>
          <w:tcPr>
            <w:tcW w:w="1320" w:type="dxa"/>
            <w:tcBorders>
              <w:top w:val="nil"/>
              <w:left w:val="nil"/>
              <w:bottom w:val="single" w:color="000000" w:sz="8" w:space="0"/>
              <w:right w:val="single" w:color="000000" w:sz="8" w:space="0"/>
            </w:tcBorders>
            <w:vAlign w:val="center"/>
          </w:tcPr>
          <w:p w14:paraId="66E16B2B">
            <w:r>
              <w:rPr>
                <w:rFonts w:hint="eastAsia"/>
              </w:rPr>
              <w:t>★A02010105便携式计算机</w:t>
            </w:r>
          </w:p>
        </w:tc>
        <w:tc>
          <w:tcPr>
            <w:tcW w:w="1620" w:type="dxa"/>
            <w:tcBorders>
              <w:top w:val="nil"/>
              <w:left w:val="nil"/>
              <w:bottom w:val="single" w:color="000000" w:sz="8" w:space="0"/>
              <w:right w:val="single" w:color="000000" w:sz="8" w:space="0"/>
            </w:tcBorders>
            <w:vAlign w:val="center"/>
          </w:tcPr>
          <w:p w14:paraId="4AEA21AD">
            <w:r>
              <w:rPr>
                <w:rFonts w:hint="eastAsia"/>
              </w:rPr>
              <w:t>　</w:t>
            </w:r>
          </w:p>
        </w:tc>
        <w:tc>
          <w:tcPr>
            <w:tcW w:w="4540" w:type="dxa"/>
            <w:tcBorders>
              <w:top w:val="nil"/>
              <w:left w:val="nil"/>
              <w:bottom w:val="single" w:color="000000" w:sz="8" w:space="0"/>
              <w:right w:val="single" w:color="000000" w:sz="8" w:space="0"/>
            </w:tcBorders>
            <w:vAlign w:val="center"/>
          </w:tcPr>
          <w:p w14:paraId="52730C4E">
            <w:r>
              <w:rPr>
                <w:rFonts w:hint="eastAsia"/>
              </w:rPr>
              <w:t>《微型计算机能效限定值及能效等级》（GB28380）</w:t>
            </w:r>
          </w:p>
        </w:tc>
      </w:tr>
      <w:tr w14:paraId="372C2386">
        <w:tblPrEx>
          <w:tblCellMar>
            <w:top w:w="0" w:type="dxa"/>
            <w:left w:w="108" w:type="dxa"/>
            <w:bottom w:w="0" w:type="dxa"/>
            <w:right w:w="108" w:type="dxa"/>
          </w:tblCellMar>
        </w:tblPrEx>
        <w:trPr>
          <w:trHeight w:val="73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187E2CAE"/>
        </w:tc>
        <w:tc>
          <w:tcPr>
            <w:tcW w:w="1080" w:type="dxa"/>
            <w:vMerge w:val="continue"/>
            <w:tcBorders>
              <w:top w:val="nil"/>
              <w:left w:val="single" w:color="000000" w:sz="8" w:space="0"/>
              <w:bottom w:val="single" w:color="000000" w:sz="8" w:space="0"/>
              <w:right w:val="single" w:color="000000" w:sz="8" w:space="0"/>
            </w:tcBorders>
            <w:vAlign w:val="center"/>
          </w:tcPr>
          <w:p w14:paraId="3C20D1BD"/>
        </w:tc>
        <w:tc>
          <w:tcPr>
            <w:tcW w:w="1320" w:type="dxa"/>
            <w:tcBorders>
              <w:top w:val="nil"/>
              <w:left w:val="nil"/>
              <w:bottom w:val="single" w:color="000000" w:sz="8" w:space="0"/>
              <w:right w:val="single" w:color="000000" w:sz="8" w:space="0"/>
            </w:tcBorders>
            <w:vAlign w:val="center"/>
          </w:tcPr>
          <w:p w14:paraId="317E9CD4">
            <w:r>
              <w:rPr>
                <w:rFonts w:hint="eastAsia"/>
              </w:rPr>
              <w:t>★A02010107平板式微型计算机</w:t>
            </w:r>
          </w:p>
        </w:tc>
        <w:tc>
          <w:tcPr>
            <w:tcW w:w="1620" w:type="dxa"/>
            <w:tcBorders>
              <w:top w:val="nil"/>
              <w:left w:val="nil"/>
              <w:bottom w:val="single" w:color="000000" w:sz="8" w:space="0"/>
              <w:right w:val="single" w:color="000000" w:sz="8" w:space="0"/>
            </w:tcBorders>
            <w:vAlign w:val="center"/>
          </w:tcPr>
          <w:p w14:paraId="0752484A">
            <w:r>
              <w:rPr>
                <w:rFonts w:hint="eastAsia"/>
              </w:rPr>
              <w:t>　</w:t>
            </w:r>
          </w:p>
        </w:tc>
        <w:tc>
          <w:tcPr>
            <w:tcW w:w="4540" w:type="dxa"/>
            <w:tcBorders>
              <w:top w:val="nil"/>
              <w:left w:val="nil"/>
              <w:bottom w:val="single" w:color="000000" w:sz="8" w:space="0"/>
              <w:right w:val="single" w:color="000000" w:sz="8" w:space="0"/>
            </w:tcBorders>
            <w:vAlign w:val="center"/>
          </w:tcPr>
          <w:p w14:paraId="06A9345D">
            <w:r>
              <w:rPr>
                <w:rFonts w:hint="eastAsia"/>
              </w:rPr>
              <w:t>《微型计算机能效限定值及能效等级》（GB28380）</w:t>
            </w:r>
          </w:p>
        </w:tc>
      </w:tr>
      <w:tr w14:paraId="5F5A0FBB">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61AC3070">
            <w:r>
              <w:rPr>
                <w:rFonts w:hint="eastAsia"/>
              </w:rPr>
              <w:t>2</w:t>
            </w:r>
          </w:p>
        </w:tc>
        <w:tc>
          <w:tcPr>
            <w:tcW w:w="1080" w:type="dxa"/>
            <w:vMerge w:val="restart"/>
            <w:tcBorders>
              <w:top w:val="nil"/>
              <w:left w:val="single" w:color="000000" w:sz="8" w:space="0"/>
              <w:bottom w:val="single" w:color="000000" w:sz="8" w:space="0"/>
              <w:right w:val="single" w:color="000000" w:sz="8" w:space="0"/>
            </w:tcBorders>
            <w:vAlign w:val="center"/>
          </w:tcPr>
          <w:p w14:paraId="1388B257">
            <w:r>
              <w:rPr>
                <w:rFonts w:hint="eastAsia"/>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2468E06D">
            <w:r>
              <w:rPr>
                <w:rFonts w:hint="eastAsia"/>
              </w:rPr>
              <w:t>A02010601打印设备</w:t>
            </w:r>
          </w:p>
        </w:tc>
        <w:tc>
          <w:tcPr>
            <w:tcW w:w="1620" w:type="dxa"/>
            <w:tcBorders>
              <w:top w:val="nil"/>
              <w:left w:val="nil"/>
              <w:bottom w:val="single" w:color="000000" w:sz="8" w:space="0"/>
              <w:right w:val="single" w:color="000000" w:sz="8" w:space="0"/>
            </w:tcBorders>
            <w:vAlign w:val="center"/>
          </w:tcPr>
          <w:p w14:paraId="67FE17C5">
            <w:r>
              <w:rPr>
                <w:rFonts w:hint="eastAsia"/>
              </w:rPr>
              <w:t>A0201060101喷墨打印机</w:t>
            </w:r>
          </w:p>
        </w:tc>
        <w:tc>
          <w:tcPr>
            <w:tcW w:w="4540" w:type="dxa"/>
            <w:tcBorders>
              <w:top w:val="nil"/>
              <w:left w:val="nil"/>
              <w:bottom w:val="single" w:color="000000" w:sz="8" w:space="0"/>
              <w:right w:val="single" w:color="000000" w:sz="8" w:space="0"/>
            </w:tcBorders>
            <w:vAlign w:val="center"/>
          </w:tcPr>
          <w:p w14:paraId="15584B71">
            <w:r>
              <w:rPr>
                <w:rFonts w:hint="eastAsia"/>
              </w:rPr>
              <w:t>《复印机、打印机和传真机能效限定值及能效等级》（GB21521）</w:t>
            </w:r>
          </w:p>
        </w:tc>
      </w:tr>
      <w:tr w14:paraId="0B767945">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01B3D6A4"/>
        </w:tc>
        <w:tc>
          <w:tcPr>
            <w:tcW w:w="1080" w:type="dxa"/>
            <w:vMerge w:val="continue"/>
            <w:tcBorders>
              <w:top w:val="nil"/>
              <w:left w:val="single" w:color="000000" w:sz="8" w:space="0"/>
              <w:bottom w:val="single" w:color="000000" w:sz="8" w:space="0"/>
              <w:right w:val="single" w:color="000000" w:sz="8" w:space="0"/>
            </w:tcBorders>
            <w:vAlign w:val="center"/>
          </w:tcPr>
          <w:p w14:paraId="19BE4B4A"/>
        </w:tc>
        <w:tc>
          <w:tcPr>
            <w:tcW w:w="1320" w:type="dxa"/>
            <w:vMerge w:val="continue"/>
            <w:tcBorders>
              <w:top w:val="nil"/>
              <w:left w:val="single" w:color="000000" w:sz="8" w:space="0"/>
              <w:bottom w:val="single" w:color="000000" w:sz="8" w:space="0"/>
              <w:right w:val="single" w:color="000000" w:sz="8" w:space="0"/>
            </w:tcBorders>
            <w:vAlign w:val="center"/>
          </w:tcPr>
          <w:p w14:paraId="594BB495"/>
        </w:tc>
        <w:tc>
          <w:tcPr>
            <w:tcW w:w="1620" w:type="dxa"/>
            <w:tcBorders>
              <w:top w:val="nil"/>
              <w:left w:val="nil"/>
              <w:bottom w:val="single" w:color="000000" w:sz="8" w:space="0"/>
              <w:right w:val="single" w:color="000000" w:sz="8" w:space="0"/>
            </w:tcBorders>
            <w:vAlign w:val="center"/>
          </w:tcPr>
          <w:p w14:paraId="7496163C">
            <w:r>
              <w:rPr>
                <w:rFonts w:hint="eastAsia"/>
              </w:rPr>
              <w:t>★A0201060102激光打印机</w:t>
            </w:r>
          </w:p>
        </w:tc>
        <w:tc>
          <w:tcPr>
            <w:tcW w:w="4540" w:type="dxa"/>
            <w:tcBorders>
              <w:top w:val="nil"/>
              <w:left w:val="nil"/>
              <w:bottom w:val="single" w:color="000000" w:sz="8" w:space="0"/>
              <w:right w:val="single" w:color="000000" w:sz="8" w:space="0"/>
            </w:tcBorders>
            <w:vAlign w:val="center"/>
          </w:tcPr>
          <w:p w14:paraId="057E1086">
            <w:r>
              <w:rPr>
                <w:rFonts w:hint="eastAsia"/>
              </w:rPr>
              <w:t>《复印机、打印机和传真机能效限定值及能效等级》（GB21521）</w:t>
            </w:r>
          </w:p>
        </w:tc>
      </w:tr>
      <w:tr w14:paraId="1A58C624">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0373DA9A"/>
        </w:tc>
        <w:tc>
          <w:tcPr>
            <w:tcW w:w="1080" w:type="dxa"/>
            <w:vMerge w:val="continue"/>
            <w:tcBorders>
              <w:top w:val="nil"/>
              <w:left w:val="single" w:color="000000" w:sz="8" w:space="0"/>
              <w:bottom w:val="single" w:color="000000" w:sz="8" w:space="0"/>
              <w:right w:val="single" w:color="000000" w:sz="8" w:space="0"/>
            </w:tcBorders>
            <w:vAlign w:val="center"/>
          </w:tcPr>
          <w:p w14:paraId="5878896E"/>
        </w:tc>
        <w:tc>
          <w:tcPr>
            <w:tcW w:w="1320" w:type="dxa"/>
            <w:vMerge w:val="continue"/>
            <w:tcBorders>
              <w:top w:val="nil"/>
              <w:left w:val="single" w:color="000000" w:sz="8" w:space="0"/>
              <w:bottom w:val="single" w:color="000000" w:sz="8" w:space="0"/>
              <w:right w:val="single" w:color="000000" w:sz="8" w:space="0"/>
            </w:tcBorders>
            <w:vAlign w:val="center"/>
          </w:tcPr>
          <w:p w14:paraId="11F54874"/>
        </w:tc>
        <w:tc>
          <w:tcPr>
            <w:tcW w:w="1620" w:type="dxa"/>
            <w:tcBorders>
              <w:top w:val="nil"/>
              <w:left w:val="nil"/>
              <w:bottom w:val="single" w:color="000000" w:sz="8" w:space="0"/>
              <w:right w:val="single" w:color="000000" w:sz="8" w:space="0"/>
            </w:tcBorders>
            <w:vAlign w:val="center"/>
          </w:tcPr>
          <w:p w14:paraId="273411ED">
            <w:r>
              <w:rPr>
                <w:rFonts w:hint="eastAsia"/>
              </w:rPr>
              <w:t>★A0201060104针式打印机</w:t>
            </w:r>
          </w:p>
        </w:tc>
        <w:tc>
          <w:tcPr>
            <w:tcW w:w="4540" w:type="dxa"/>
            <w:tcBorders>
              <w:top w:val="nil"/>
              <w:left w:val="nil"/>
              <w:bottom w:val="single" w:color="000000" w:sz="8" w:space="0"/>
              <w:right w:val="single" w:color="000000" w:sz="8" w:space="0"/>
            </w:tcBorders>
            <w:vAlign w:val="center"/>
          </w:tcPr>
          <w:p w14:paraId="7D851CAA">
            <w:r>
              <w:rPr>
                <w:rFonts w:hint="eastAsia"/>
              </w:rPr>
              <w:t>《复印机、打印机和传真机能效限定值及能效等级》（GB21521）</w:t>
            </w:r>
          </w:p>
        </w:tc>
      </w:tr>
      <w:tr w14:paraId="719BA4AE">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30AFE5AA"/>
        </w:tc>
        <w:tc>
          <w:tcPr>
            <w:tcW w:w="1080" w:type="dxa"/>
            <w:vMerge w:val="continue"/>
            <w:tcBorders>
              <w:top w:val="nil"/>
              <w:left w:val="single" w:color="000000" w:sz="8" w:space="0"/>
              <w:bottom w:val="single" w:color="000000" w:sz="8" w:space="0"/>
              <w:right w:val="single" w:color="000000" w:sz="8" w:space="0"/>
            </w:tcBorders>
            <w:vAlign w:val="center"/>
          </w:tcPr>
          <w:p w14:paraId="4A46651D"/>
        </w:tc>
        <w:tc>
          <w:tcPr>
            <w:tcW w:w="1320" w:type="dxa"/>
            <w:tcBorders>
              <w:top w:val="nil"/>
              <w:left w:val="nil"/>
              <w:bottom w:val="single" w:color="000000" w:sz="8" w:space="0"/>
              <w:right w:val="single" w:color="000000" w:sz="8" w:space="0"/>
            </w:tcBorders>
            <w:vAlign w:val="center"/>
          </w:tcPr>
          <w:p w14:paraId="34D9B291">
            <w:r>
              <w:rPr>
                <w:rFonts w:hint="eastAsia"/>
              </w:rPr>
              <w:t>A02010604显示设备</w:t>
            </w:r>
          </w:p>
        </w:tc>
        <w:tc>
          <w:tcPr>
            <w:tcW w:w="1620" w:type="dxa"/>
            <w:tcBorders>
              <w:top w:val="nil"/>
              <w:left w:val="nil"/>
              <w:bottom w:val="single" w:color="000000" w:sz="8" w:space="0"/>
              <w:right w:val="single" w:color="000000" w:sz="8" w:space="0"/>
            </w:tcBorders>
            <w:vAlign w:val="center"/>
          </w:tcPr>
          <w:p w14:paraId="49605177">
            <w:r>
              <w:rPr>
                <w:rFonts w:hint="eastAsia"/>
              </w:rPr>
              <w:t>★A0201060401液晶显示器</w:t>
            </w:r>
          </w:p>
        </w:tc>
        <w:tc>
          <w:tcPr>
            <w:tcW w:w="4540" w:type="dxa"/>
            <w:tcBorders>
              <w:top w:val="nil"/>
              <w:left w:val="nil"/>
              <w:bottom w:val="single" w:color="000000" w:sz="8" w:space="0"/>
              <w:right w:val="single" w:color="000000" w:sz="8" w:space="0"/>
            </w:tcBorders>
            <w:vAlign w:val="center"/>
          </w:tcPr>
          <w:p w14:paraId="654457C0">
            <w:r>
              <w:rPr>
                <w:rFonts w:hint="eastAsia"/>
              </w:rPr>
              <w:t>《计算机显示器能效限定值及能效等级》（GB21520）</w:t>
            </w:r>
          </w:p>
        </w:tc>
      </w:tr>
      <w:tr w14:paraId="312C2935">
        <w:tblPrEx>
          <w:tblCellMar>
            <w:top w:w="0" w:type="dxa"/>
            <w:left w:w="108" w:type="dxa"/>
            <w:bottom w:w="0" w:type="dxa"/>
            <w:right w:w="108" w:type="dxa"/>
          </w:tblCellMar>
        </w:tblPrEx>
        <w:trPr>
          <w:trHeight w:val="97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2519AFDA"/>
        </w:tc>
        <w:tc>
          <w:tcPr>
            <w:tcW w:w="1080" w:type="dxa"/>
            <w:vMerge w:val="continue"/>
            <w:tcBorders>
              <w:top w:val="nil"/>
              <w:left w:val="single" w:color="000000" w:sz="8" w:space="0"/>
              <w:bottom w:val="single" w:color="000000" w:sz="8" w:space="0"/>
              <w:right w:val="single" w:color="000000" w:sz="8" w:space="0"/>
            </w:tcBorders>
            <w:vAlign w:val="center"/>
          </w:tcPr>
          <w:p w14:paraId="11441C3D"/>
        </w:tc>
        <w:tc>
          <w:tcPr>
            <w:tcW w:w="1320" w:type="dxa"/>
            <w:tcBorders>
              <w:top w:val="nil"/>
              <w:left w:val="nil"/>
              <w:bottom w:val="single" w:color="000000" w:sz="8" w:space="0"/>
              <w:right w:val="single" w:color="000000" w:sz="8" w:space="0"/>
            </w:tcBorders>
            <w:vAlign w:val="center"/>
          </w:tcPr>
          <w:p w14:paraId="3C361BF4">
            <w:r>
              <w:rPr>
                <w:rFonts w:hint="eastAsia"/>
              </w:rPr>
              <w:t>A02010609图形图像输入设备</w:t>
            </w:r>
          </w:p>
        </w:tc>
        <w:tc>
          <w:tcPr>
            <w:tcW w:w="1620" w:type="dxa"/>
            <w:tcBorders>
              <w:top w:val="nil"/>
              <w:left w:val="nil"/>
              <w:bottom w:val="single" w:color="000000" w:sz="8" w:space="0"/>
              <w:right w:val="single" w:color="000000" w:sz="8" w:space="0"/>
            </w:tcBorders>
            <w:vAlign w:val="center"/>
          </w:tcPr>
          <w:p w14:paraId="0A98E1BC">
            <w:r>
              <w:rPr>
                <w:rFonts w:hint="eastAsia"/>
              </w:rPr>
              <w:t>A0201060901扫描仪</w:t>
            </w:r>
          </w:p>
        </w:tc>
        <w:tc>
          <w:tcPr>
            <w:tcW w:w="4540" w:type="dxa"/>
            <w:tcBorders>
              <w:top w:val="nil"/>
              <w:left w:val="nil"/>
              <w:bottom w:val="single" w:color="000000" w:sz="8" w:space="0"/>
              <w:right w:val="single" w:color="000000" w:sz="8" w:space="0"/>
            </w:tcBorders>
            <w:vAlign w:val="center"/>
          </w:tcPr>
          <w:p w14:paraId="0E0889EF">
            <w:pPr>
              <w:rPr>
                <w:kern w:val="0"/>
              </w:rPr>
            </w:pPr>
            <w:r>
              <w:rPr>
                <w:rFonts w:hint="eastAsia"/>
                <w:kern w:val="0"/>
              </w:rPr>
              <w:t>参照《复印机、打印机和传真机能效限定值及能效等级》</w:t>
            </w:r>
            <w:r>
              <w:t xml:space="preserve">(GB 21521) </w:t>
            </w:r>
            <w:r>
              <w:rPr>
                <w:spacing w:val="7"/>
              </w:rPr>
              <w:t>中</w:t>
            </w:r>
            <w:r>
              <w:rPr>
                <w:spacing w:val="6"/>
              </w:rPr>
              <w:t>打印速度为 15 页/分的针式打</w:t>
            </w:r>
            <w:r>
              <w:rPr>
                <w:spacing w:val="4"/>
              </w:rPr>
              <w:t>印</w:t>
            </w:r>
            <w:r>
              <w:rPr>
                <w:spacing w:val="3"/>
              </w:rPr>
              <w:t>机</w:t>
            </w:r>
            <w:r>
              <w:rPr>
                <w:spacing w:val="2"/>
              </w:rPr>
              <w:t>相关要求</w:t>
            </w:r>
          </w:p>
        </w:tc>
      </w:tr>
      <w:tr w14:paraId="55F0A10D">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0A436D21">
            <w:r>
              <w:rPr>
                <w:rFonts w:hint="eastAsia"/>
              </w:rPr>
              <w:t>3</w:t>
            </w:r>
          </w:p>
        </w:tc>
        <w:tc>
          <w:tcPr>
            <w:tcW w:w="1080" w:type="dxa"/>
            <w:tcBorders>
              <w:top w:val="nil"/>
              <w:left w:val="nil"/>
              <w:bottom w:val="single" w:color="000000" w:sz="8" w:space="0"/>
              <w:right w:val="single" w:color="000000" w:sz="8" w:space="0"/>
            </w:tcBorders>
            <w:vAlign w:val="center"/>
          </w:tcPr>
          <w:p w14:paraId="02BFF695">
            <w:r>
              <w:rPr>
                <w:rFonts w:hint="eastAsia"/>
              </w:rPr>
              <w:t>A020202投影仪</w:t>
            </w:r>
          </w:p>
        </w:tc>
        <w:tc>
          <w:tcPr>
            <w:tcW w:w="1320" w:type="dxa"/>
            <w:tcBorders>
              <w:top w:val="nil"/>
              <w:left w:val="nil"/>
              <w:bottom w:val="single" w:color="000000" w:sz="8" w:space="0"/>
              <w:right w:val="single" w:color="000000" w:sz="8" w:space="0"/>
            </w:tcBorders>
            <w:vAlign w:val="center"/>
          </w:tcPr>
          <w:p w14:paraId="48600642">
            <w:r>
              <w:rPr>
                <w:rFonts w:hint="eastAsia"/>
              </w:rPr>
              <w:t>　</w:t>
            </w:r>
          </w:p>
        </w:tc>
        <w:tc>
          <w:tcPr>
            <w:tcW w:w="1620" w:type="dxa"/>
            <w:tcBorders>
              <w:top w:val="nil"/>
              <w:left w:val="nil"/>
              <w:bottom w:val="single" w:color="000000" w:sz="8" w:space="0"/>
              <w:right w:val="single" w:color="000000" w:sz="8" w:space="0"/>
            </w:tcBorders>
            <w:vAlign w:val="center"/>
          </w:tcPr>
          <w:p w14:paraId="2C959324">
            <w:r>
              <w:rPr>
                <w:rFonts w:hint="eastAsia"/>
              </w:rPr>
              <w:t>　</w:t>
            </w:r>
          </w:p>
        </w:tc>
        <w:tc>
          <w:tcPr>
            <w:tcW w:w="4540" w:type="dxa"/>
            <w:tcBorders>
              <w:top w:val="nil"/>
              <w:left w:val="nil"/>
              <w:bottom w:val="single" w:color="000000" w:sz="8" w:space="0"/>
              <w:right w:val="single" w:color="000000" w:sz="8" w:space="0"/>
            </w:tcBorders>
            <w:vAlign w:val="center"/>
          </w:tcPr>
          <w:p w14:paraId="2F2E1599">
            <w:r>
              <w:rPr>
                <w:rFonts w:hint="eastAsia"/>
              </w:rPr>
              <w:t>《投影机能效限定值及能效等级》（GB32028）</w:t>
            </w:r>
          </w:p>
        </w:tc>
      </w:tr>
      <w:tr w14:paraId="3875F64E">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07D97440">
            <w:r>
              <w:rPr>
                <w:rFonts w:hint="eastAsia"/>
              </w:rPr>
              <w:t>4</w:t>
            </w:r>
          </w:p>
        </w:tc>
        <w:tc>
          <w:tcPr>
            <w:tcW w:w="1080" w:type="dxa"/>
            <w:tcBorders>
              <w:top w:val="nil"/>
              <w:left w:val="nil"/>
              <w:bottom w:val="single" w:color="000000" w:sz="8" w:space="0"/>
              <w:right w:val="single" w:color="000000" w:sz="8" w:space="0"/>
            </w:tcBorders>
            <w:vAlign w:val="center"/>
          </w:tcPr>
          <w:p w14:paraId="3EE45FED">
            <w:r>
              <w:rPr>
                <w:rFonts w:hint="eastAsia"/>
              </w:rPr>
              <w:t>A020204多功能一体机</w:t>
            </w:r>
          </w:p>
        </w:tc>
        <w:tc>
          <w:tcPr>
            <w:tcW w:w="1320" w:type="dxa"/>
            <w:tcBorders>
              <w:top w:val="nil"/>
              <w:left w:val="nil"/>
              <w:bottom w:val="single" w:color="000000" w:sz="8" w:space="0"/>
              <w:right w:val="single" w:color="000000" w:sz="8" w:space="0"/>
            </w:tcBorders>
            <w:vAlign w:val="center"/>
          </w:tcPr>
          <w:p w14:paraId="0E73D409">
            <w:r>
              <w:rPr>
                <w:rFonts w:hint="eastAsia"/>
              </w:rPr>
              <w:t>　</w:t>
            </w:r>
          </w:p>
        </w:tc>
        <w:tc>
          <w:tcPr>
            <w:tcW w:w="1620" w:type="dxa"/>
            <w:tcBorders>
              <w:top w:val="nil"/>
              <w:left w:val="nil"/>
              <w:bottom w:val="single" w:color="000000" w:sz="8" w:space="0"/>
              <w:right w:val="single" w:color="000000" w:sz="8" w:space="0"/>
            </w:tcBorders>
            <w:vAlign w:val="center"/>
          </w:tcPr>
          <w:p w14:paraId="25056004">
            <w:r>
              <w:rPr>
                <w:rFonts w:hint="eastAsia"/>
              </w:rPr>
              <w:t>　</w:t>
            </w:r>
          </w:p>
        </w:tc>
        <w:tc>
          <w:tcPr>
            <w:tcW w:w="4540" w:type="dxa"/>
            <w:tcBorders>
              <w:top w:val="nil"/>
              <w:left w:val="nil"/>
              <w:bottom w:val="single" w:color="000000" w:sz="8" w:space="0"/>
              <w:right w:val="single" w:color="000000" w:sz="8" w:space="0"/>
            </w:tcBorders>
            <w:vAlign w:val="center"/>
          </w:tcPr>
          <w:p w14:paraId="6540E764">
            <w:r>
              <w:rPr>
                <w:rFonts w:hint="eastAsia"/>
              </w:rPr>
              <w:t>《复印机、打印机和传真机能效限定值及能效等级》（GB21521）</w:t>
            </w:r>
          </w:p>
        </w:tc>
      </w:tr>
      <w:tr w14:paraId="25E8CDB1">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20A70B98">
            <w:r>
              <w:rPr>
                <w:rFonts w:hint="eastAsia"/>
              </w:rPr>
              <w:t>5</w:t>
            </w:r>
          </w:p>
        </w:tc>
        <w:tc>
          <w:tcPr>
            <w:tcW w:w="1080" w:type="dxa"/>
            <w:tcBorders>
              <w:top w:val="nil"/>
              <w:left w:val="nil"/>
              <w:bottom w:val="single" w:color="000000" w:sz="8" w:space="0"/>
              <w:right w:val="single" w:color="000000" w:sz="8" w:space="0"/>
            </w:tcBorders>
            <w:vAlign w:val="center"/>
          </w:tcPr>
          <w:p w14:paraId="731D1592">
            <w:r>
              <w:rPr>
                <w:rFonts w:hint="eastAsia"/>
              </w:rPr>
              <w:t>A020519泵</w:t>
            </w:r>
          </w:p>
        </w:tc>
        <w:tc>
          <w:tcPr>
            <w:tcW w:w="1320" w:type="dxa"/>
            <w:tcBorders>
              <w:top w:val="nil"/>
              <w:left w:val="nil"/>
              <w:bottom w:val="single" w:color="000000" w:sz="8" w:space="0"/>
              <w:right w:val="single" w:color="000000" w:sz="8" w:space="0"/>
            </w:tcBorders>
            <w:vAlign w:val="center"/>
          </w:tcPr>
          <w:p w14:paraId="66CFE471">
            <w:r>
              <w:rPr>
                <w:rFonts w:hint="eastAsia"/>
              </w:rPr>
              <w:t>A02051901离心泵</w:t>
            </w:r>
          </w:p>
        </w:tc>
        <w:tc>
          <w:tcPr>
            <w:tcW w:w="1620" w:type="dxa"/>
            <w:tcBorders>
              <w:top w:val="nil"/>
              <w:left w:val="nil"/>
              <w:bottom w:val="single" w:color="000000" w:sz="8" w:space="0"/>
              <w:right w:val="single" w:color="000000" w:sz="8" w:space="0"/>
            </w:tcBorders>
            <w:vAlign w:val="center"/>
          </w:tcPr>
          <w:p w14:paraId="35A619CB">
            <w:r>
              <w:rPr>
                <w:rFonts w:hint="eastAsia"/>
              </w:rPr>
              <w:t>　</w:t>
            </w:r>
          </w:p>
        </w:tc>
        <w:tc>
          <w:tcPr>
            <w:tcW w:w="4540" w:type="dxa"/>
            <w:tcBorders>
              <w:top w:val="nil"/>
              <w:left w:val="nil"/>
              <w:bottom w:val="single" w:color="000000" w:sz="8" w:space="0"/>
              <w:right w:val="single" w:color="000000" w:sz="8" w:space="0"/>
            </w:tcBorders>
            <w:vAlign w:val="center"/>
          </w:tcPr>
          <w:p w14:paraId="36115349">
            <w:r>
              <w:rPr>
                <w:rFonts w:hint="eastAsia"/>
              </w:rPr>
              <w:t>《清水离心泵能效限定值及节能评价值》（GB19762）</w:t>
            </w:r>
          </w:p>
        </w:tc>
      </w:tr>
      <w:tr w14:paraId="285DE028">
        <w:tblPrEx>
          <w:tblCellMar>
            <w:top w:w="0" w:type="dxa"/>
            <w:left w:w="108" w:type="dxa"/>
            <w:bottom w:w="0" w:type="dxa"/>
            <w:right w:w="108" w:type="dxa"/>
          </w:tblCellMar>
        </w:tblPrEx>
        <w:trPr>
          <w:trHeight w:val="73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337D0A65">
            <w:r>
              <w:rPr>
                <w:rFonts w:hint="eastAsia"/>
              </w:rPr>
              <w:t>6</w:t>
            </w:r>
          </w:p>
        </w:tc>
        <w:tc>
          <w:tcPr>
            <w:tcW w:w="1080" w:type="dxa"/>
            <w:vMerge w:val="restart"/>
            <w:tcBorders>
              <w:top w:val="nil"/>
              <w:left w:val="single" w:color="000000" w:sz="8" w:space="0"/>
              <w:bottom w:val="single" w:color="000000" w:sz="8" w:space="0"/>
              <w:right w:val="single" w:color="000000" w:sz="8" w:space="0"/>
            </w:tcBorders>
            <w:vAlign w:val="center"/>
          </w:tcPr>
          <w:p w14:paraId="76C0141F">
            <w:r>
              <w:rPr>
                <w:rFonts w:hint="eastAsia"/>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44D886F0">
            <w:r>
              <w:rPr>
                <w:rFonts w:hint="eastAsia"/>
              </w:rPr>
              <w:t>★A02052301制冷压缩机</w:t>
            </w:r>
          </w:p>
        </w:tc>
        <w:tc>
          <w:tcPr>
            <w:tcW w:w="1620" w:type="dxa"/>
            <w:tcBorders>
              <w:top w:val="nil"/>
              <w:left w:val="nil"/>
              <w:bottom w:val="single" w:color="000000" w:sz="8" w:space="0"/>
              <w:right w:val="single" w:color="000000" w:sz="8" w:space="0"/>
            </w:tcBorders>
            <w:vAlign w:val="center"/>
          </w:tcPr>
          <w:p w14:paraId="7A778476">
            <w:r>
              <w:rPr>
                <w:rFonts w:hint="eastAsia"/>
              </w:rPr>
              <w:t>冷水机组</w:t>
            </w:r>
          </w:p>
        </w:tc>
        <w:tc>
          <w:tcPr>
            <w:tcW w:w="4540" w:type="dxa"/>
            <w:tcBorders>
              <w:top w:val="nil"/>
              <w:left w:val="nil"/>
              <w:bottom w:val="single" w:color="000000" w:sz="8" w:space="0"/>
              <w:right w:val="single" w:color="000000" w:sz="8" w:space="0"/>
            </w:tcBorders>
            <w:vAlign w:val="center"/>
          </w:tcPr>
          <w:p w14:paraId="7C1BD3E1">
            <w:r>
              <w:rPr>
                <w:rFonts w:hint="eastAsia"/>
              </w:rPr>
              <w:t>《冷水机组能效限定值及能效等级》（GB19577），《低环境温度空气源热泵（冷水）机组能效限定值及能效等级》（GB37480）</w:t>
            </w:r>
          </w:p>
        </w:tc>
      </w:tr>
      <w:tr w14:paraId="6147AE73">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7D8BECA5"/>
        </w:tc>
        <w:tc>
          <w:tcPr>
            <w:tcW w:w="1080" w:type="dxa"/>
            <w:vMerge w:val="continue"/>
            <w:tcBorders>
              <w:top w:val="nil"/>
              <w:left w:val="single" w:color="000000" w:sz="8" w:space="0"/>
              <w:bottom w:val="single" w:color="000000" w:sz="8" w:space="0"/>
              <w:right w:val="single" w:color="000000" w:sz="8" w:space="0"/>
            </w:tcBorders>
            <w:vAlign w:val="center"/>
          </w:tcPr>
          <w:p w14:paraId="7025A8C4"/>
        </w:tc>
        <w:tc>
          <w:tcPr>
            <w:tcW w:w="1320" w:type="dxa"/>
            <w:vMerge w:val="continue"/>
            <w:tcBorders>
              <w:top w:val="nil"/>
              <w:left w:val="single" w:color="000000" w:sz="8" w:space="0"/>
              <w:bottom w:val="single" w:color="000000" w:sz="8" w:space="0"/>
              <w:right w:val="single" w:color="000000" w:sz="8" w:space="0"/>
            </w:tcBorders>
            <w:vAlign w:val="center"/>
          </w:tcPr>
          <w:p w14:paraId="70DFE3FB"/>
        </w:tc>
        <w:tc>
          <w:tcPr>
            <w:tcW w:w="1620" w:type="dxa"/>
            <w:tcBorders>
              <w:top w:val="nil"/>
              <w:left w:val="nil"/>
              <w:bottom w:val="single" w:color="000000" w:sz="8" w:space="0"/>
              <w:right w:val="single" w:color="000000" w:sz="8" w:space="0"/>
            </w:tcBorders>
            <w:vAlign w:val="center"/>
          </w:tcPr>
          <w:p w14:paraId="2390C309">
            <w:r>
              <w:rPr>
                <w:rFonts w:hint="eastAsia"/>
              </w:rPr>
              <w:t>水源热泵机组</w:t>
            </w:r>
          </w:p>
        </w:tc>
        <w:tc>
          <w:tcPr>
            <w:tcW w:w="4540" w:type="dxa"/>
            <w:tcBorders>
              <w:top w:val="nil"/>
              <w:left w:val="nil"/>
              <w:bottom w:val="single" w:color="000000" w:sz="8" w:space="0"/>
              <w:right w:val="single" w:color="000000" w:sz="8" w:space="0"/>
            </w:tcBorders>
            <w:vAlign w:val="center"/>
          </w:tcPr>
          <w:p w14:paraId="68CC5C1B">
            <w:r>
              <w:rPr>
                <w:rFonts w:hint="eastAsia"/>
              </w:rPr>
              <w:t>《水（地）源热泵机组能效限定值及能效等级》（GB30721）</w:t>
            </w:r>
          </w:p>
        </w:tc>
      </w:tr>
      <w:tr w14:paraId="1F82B31F">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103ECFA1"/>
        </w:tc>
        <w:tc>
          <w:tcPr>
            <w:tcW w:w="1080" w:type="dxa"/>
            <w:vMerge w:val="continue"/>
            <w:tcBorders>
              <w:top w:val="nil"/>
              <w:left w:val="single" w:color="000000" w:sz="8" w:space="0"/>
              <w:bottom w:val="single" w:color="000000" w:sz="8" w:space="0"/>
              <w:right w:val="single" w:color="000000" w:sz="8" w:space="0"/>
            </w:tcBorders>
            <w:vAlign w:val="center"/>
          </w:tcPr>
          <w:p w14:paraId="7C40CB96"/>
        </w:tc>
        <w:tc>
          <w:tcPr>
            <w:tcW w:w="1320" w:type="dxa"/>
            <w:vMerge w:val="continue"/>
            <w:tcBorders>
              <w:top w:val="nil"/>
              <w:left w:val="single" w:color="000000" w:sz="8" w:space="0"/>
              <w:bottom w:val="single" w:color="000000" w:sz="8" w:space="0"/>
              <w:right w:val="single" w:color="000000" w:sz="8" w:space="0"/>
            </w:tcBorders>
            <w:vAlign w:val="center"/>
          </w:tcPr>
          <w:p w14:paraId="3D9499CF"/>
        </w:tc>
        <w:tc>
          <w:tcPr>
            <w:tcW w:w="1620" w:type="dxa"/>
            <w:tcBorders>
              <w:top w:val="nil"/>
              <w:left w:val="nil"/>
              <w:bottom w:val="single" w:color="000000" w:sz="8" w:space="0"/>
              <w:right w:val="single" w:color="000000" w:sz="8" w:space="0"/>
            </w:tcBorders>
            <w:vAlign w:val="center"/>
          </w:tcPr>
          <w:p w14:paraId="74ABC34B">
            <w:r>
              <w:rPr>
                <w:rFonts w:hint="eastAsia"/>
              </w:rPr>
              <w:t>溴化锂吸收式冷水机组</w:t>
            </w:r>
          </w:p>
        </w:tc>
        <w:tc>
          <w:tcPr>
            <w:tcW w:w="4540" w:type="dxa"/>
            <w:tcBorders>
              <w:top w:val="nil"/>
              <w:left w:val="nil"/>
              <w:bottom w:val="single" w:color="000000" w:sz="8" w:space="0"/>
              <w:right w:val="single" w:color="000000" w:sz="8" w:space="0"/>
            </w:tcBorders>
            <w:vAlign w:val="center"/>
          </w:tcPr>
          <w:p w14:paraId="0EFF5D08">
            <w:r>
              <w:rPr>
                <w:rFonts w:hint="eastAsia"/>
              </w:rPr>
              <w:t>《溴化锂吸收式冷水机组能效限定值及能效等级》（GB29540）</w:t>
            </w:r>
          </w:p>
        </w:tc>
      </w:tr>
      <w:tr w14:paraId="4749C8F5">
        <w:tblPrEx>
          <w:tblCellMar>
            <w:top w:w="0" w:type="dxa"/>
            <w:left w:w="108" w:type="dxa"/>
            <w:bottom w:w="0" w:type="dxa"/>
            <w:right w:w="108" w:type="dxa"/>
          </w:tblCellMar>
        </w:tblPrEx>
        <w:trPr>
          <w:trHeight w:val="73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05CBDD6D"/>
        </w:tc>
        <w:tc>
          <w:tcPr>
            <w:tcW w:w="1080" w:type="dxa"/>
            <w:vMerge w:val="continue"/>
            <w:tcBorders>
              <w:top w:val="nil"/>
              <w:left w:val="single" w:color="000000" w:sz="8" w:space="0"/>
              <w:bottom w:val="single" w:color="000000" w:sz="8" w:space="0"/>
              <w:right w:val="single" w:color="000000" w:sz="8" w:space="0"/>
            </w:tcBorders>
            <w:vAlign w:val="center"/>
          </w:tcPr>
          <w:p w14:paraId="46DB2B1D"/>
        </w:tc>
        <w:tc>
          <w:tcPr>
            <w:tcW w:w="1320" w:type="dxa"/>
            <w:vMerge w:val="restart"/>
            <w:tcBorders>
              <w:top w:val="nil"/>
              <w:left w:val="single" w:color="000000" w:sz="8" w:space="0"/>
              <w:bottom w:val="single" w:color="000000" w:sz="8" w:space="0"/>
              <w:right w:val="single" w:color="000000" w:sz="8" w:space="0"/>
            </w:tcBorders>
            <w:vAlign w:val="center"/>
          </w:tcPr>
          <w:p w14:paraId="11183949">
            <w:r>
              <w:rPr>
                <w:rFonts w:hint="eastAsia"/>
              </w:rPr>
              <w:t>★A02052305空调机组</w:t>
            </w:r>
          </w:p>
        </w:tc>
        <w:tc>
          <w:tcPr>
            <w:tcW w:w="1620" w:type="dxa"/>
            <w:tcBorders>
              <w:top w:val="nil"/>
              <w:left w:val="nil"/>
              <w:bottom w:val="single" w:color="000000" w:sz="8" w:space="0"/>
              <w:right w:val="single" w:color="000000" w:sz="8" w:space="0"/>
            </w:tcBorders>
            <w:vAlign w:val="center"/>
          </w:tcPr>
          <w:p w14:paraId="6BB8AB8A">
            <w:r>
              <w:rPr>
                <w:rFonts w:hint="eastAsia"/>
              </w:rPr>
              <w:t>多联式空调（热泵）机组(制冷量&gt;14000W)</w:t>
            </w:r>
          </w:p>
        </w:tc>
        <w:tc>
          <w:tcPr>
            <w:tcW w:w="4540" w:type="dxa"/>
            <w:tcBorders>
              <w:top w:val="nil"/>
              <w:left w:val="nil"/>
              <w:bottom w:val="single" w:color="000000" w:sz="8" w:space="0"/>
              <w:right w:val="single" w:color="000000" w:sz="8" w:space="0"/>
            </w:tcBorders>
            <w:vAlign w:val="center"/>
          </w:tcPr>
          <w:p w14:paraId="6CCDC4B3">
            <w:r>
              <w:rPr>
                <w:rFonts w:hint="eastAsia"/>
              </w:rPr>
              <w:t>《多联式空调（热泵）机组能效限定值及能源效率等级》（GB21454）</w:t>
            </w:r>
          </w:p>
        </w:tc>
      </w:tr>
      <w:tr w14:paraId="1D53B557">
        <w:tblPrEx>
          <w:tblCellMar>
            <w:top w:w="0" w:type="dxa"/>
            <w:left w:w="108" w:type="dxa"/>
            <w:bottom w:w="0" w:type="dxa"/>
            <w:right w:w="108" w:type="dxa"/>
          </w:tblCellMar>
        </w:tblPrEx>
        <w:trPr>
          <w:trHeight w:val="73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78116871"/>
        </w:tc>
        <w:tc>
          <w:tcPr>
            <w:tcW w:w="1080" w:type="dxa"/>
            <w:vMerge w:val="continue"/>
            <w:tcBorders>
              <w:top w:val="nil"/>
              <w:left w:val="single" w:color="000000" w:sz="8" w:space="0"/>
              <w:bottom w:val="single" w:color="000000" w:sz="8" w:space="0"/>
              <w:right w:val="single" w:color="000000" w:sz="8" w:space="0"/>
            </w:tcBorders>
            <w:vAlign w:val="center"/>
          </w:tcPr>
          <w:p w14:paraId="580547FD"/>
        </w:tc>
        <w:tc>
          <w:tcPr>
            <w:tcW w:w="1320" w:type="dxa"/>
            <w:vMerge w:val="continue"/>
            <w:tcBorders>
              <w:top w:val="nil"/>
              <w:left w:val="single" w:color="000000" w:sz="8" w:space="0"/>
              <w:bottom w:val="single" w:color="000000" w:sz="8" w:space="0"/>
              <w:right w:val="single" w:color="000000" w:sz="8" w:space="0"/>
            </w:tcBorders>
            <w:vAlign w:val="center"/>
          </w:tcPr>
          <w:p w14:paraId="4AD16391"/>
        </w:tc>
        <w:tc>
          <w:tcPr>
            <w:tcW w:w="1620" w:type="dxa"/>
            <w:tcBorders>
              <w:top w:val="nil"/>
              <w:left w:val="nil"/>
              <w:bottom w:val="single" w:color="000000" w:sz="8" w:space="0"/>
              <w:right w:val="single" w:color="000000" w:sz="8" w:space="0"/>
            </w:tcBorders>
            <w:vAlign w:val="center"/>
          </w:tcPr>
          <w:p w14:paraId="61F16D95">
            <w:r>
              <w:rPr>
                <w:rFonts w:hint="eastAsia"/>
              </w:rPr>
              <w:t>单元式空气调节机(制冷量&gt;14000W</w:t>
            </w:r>
          </w:p>
        </w:tc>
        <w:tc>
          <w:tcPr>
            <w:tcW w:w="4540" w:type="dxa"/>
            <w:tcBorders>
              <w:top w:val="nil"/>
              <w:left w:val="nil"/>
              <w:bottom w:val="single" w:color="000000" w:sz="8" w:space="0"/>
              <w:right w:val="single" w:color="000000" w:sz="8" w:space="0"/>
            </w:tcBorders>
            <w:vAlign w:val="center"/>
          </w:tcPr>
          <w:p w14:paraId="18AE8393">
            <w:r>
              <w:rPr>
                <w:rFonts w:hint="eastAsia"/>
              </w:rPr>
              <w:t>《单元式空气调节机能效限定值及能效等级》（GB19576）《风管送风式空调机组能效限定值及能效等级》（GB37479）</w:t>
            </w:r>
          </w:p>
        </w:tc>
      </w:tr>
      <w:tr w14:paraId="3781C9E3">
        <w:tblPrEx>
          <w:tblCellMar>
            <w:top w:w="0" w:type="dxa"/>
            <w:left w:w="108" w:type="dxa"/>
            <w:bottom w:w="0" w:type="dxa"/>
            <w:right w:w="108" w:type="dxa"/>
          </w:tblCellMar>
        </w:tblPrEx>
        <w:trPr>
          <w:trHeight w:val="73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6ADCA4C6"/>
        </w:tc>
        <w:tc>
          <w:tcPr>
            <w:tcW w:w="1080" w:type="dxa"/>
            <w:vMerge w:val="continue"/>
            <w:tcBorders>
              <w:top w:val="nil"/>
              <w:left w:val="single" w:color="000000" w:sz="8" w:space="0"/>
              <w:bottom w:val="single" w:color="000000" w:sz="8" w:space="0"/>
              <w:right w:val="single" w:color="000000" w:sz="8" w:space="0"/>
            </w:tcBorders>
            <w:vAlign w:val="center"/>
          </w:tcPr>
          <w:p w14:paraId="675E5B54"/>
        </w:tc>
        <w:tc>
          <w:tcPr>
            <w:tcW w:w="1320" w:type="dxa"/>
            <w:tcBorders>
              <w:top w:val="nil"/>
              <w:left w:val="nil"/>
              <w:bottom w:val="single" w:color="000000" w:sz="8" w:space="0"/>
              <w:right w:val="single" w:color="000000" w:sz="8" w:space="0"/>
            </w:tcBorders>
            <w:vAlign w:val="center"/>
          </w:tcPr>
          <w:p w14:paraId="6C8CC137">
            <w:r>
              <w:rPr>
                <w:rFonts w:hint="eastAsia"/>
              </w:rPr>
              <w:t>★A02052309专用制冷、空调设备</w:t>
            </w:r>
          </w:p>
        </w:tc>
        <w:tc>
          <w:tcPr>
            <w:tcW w:w="1620" w:type="dxa"/>
            <w:tcBorders>
              <w:top w:val="nil"/>
              <w:left w:val="nil"/>
              <w:bottom w:val="single" w:color="000000" w:sz="8" w:space="0"/>
              <w:right w:val="single" w:color="000000" w:sz="8" w:space="0"/>
            </w:tcBorders>
            <w:vAlign w:val="center"/>
          </w:tcPr>
          <w:p w14:paraId="472244B0">
            <w:r>
              <w:rPr>
                <w:rFonts w:hint="eastAsia"/>
              </w:rPr>
              <w:t>机房空调</w:t>
            </w:r>
          </w:p>
        </w:tc>
        <w:tc>
          <w:tcPr>
            <w:tcW w:w="4540" w:type="dxa"/>
            <w:tcBorders>
              <w:top w:val="nil"/>
              <w:left w:val="nil"/>
              <w:bottom w:val="single" w:color="000000" w:sz="8" w:space="0"/>
              <w:right w:val="single" w:color="000000" w:sz="8" w:space="0"/>
            </w:tcBorders>
            <w:vAlign w:val="center"/>
          </w:tcPr>
          <w:p w14:paraId="20BACEAA">
            <w:r>
              <w:rPr>
                <w:rFonts w:hint="eastAsia"/>
              </w:rPr>
              <w:t>《单元式空气调节机能效限定值及能效等级》（GB19576）</w:t>
            </w:r>
          </w:p>
        </w:tc>
      </w:tr>
      <w:tr w14:paraId="6E199616">
        <w:tblPrEx>
          <w:tblCellMar>
            <w:top w:w="0" w:type="dxa"/>
            <w:left w:w="108" w:type="dxa"/>
            <w:bottom w:w="0" w:type="dxa"/>
            <w:right w:w="108" w:type="dxa"/>
          </w:tblCellMar>
        </w:tblPrEx>
        <w:trPr>
          <w:trHeight w:val="73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3735E2BD"/>
        </w:tc>
        <w:tc>
          <w:tcPr>
            <w:tcW w:w="1080" w:type="dxa"/>
            <w:vMerge w:val="continue"/>
            <w:tcBorders>
              <w:top w:val="nil"/>
              <w:left w:val="single" w:color="000000" w:sz="8" w:space="0"/>
              <w:bottom w:val="single" w:color="000000" w:sz="8" w:space="0"/>
              <w:right w:val="single" w:color="000000" w:sz="8" w:space="0"/>
            </w:tcBorders>
            <w:vAlign w:val="center"/>
          </w:tcPr>
          <w:p w14:paraId="38EAC969"/>
        </w:tc>
        <w:tc>
          <w:tcPr>
            <w:tcW w:w="1320" w:type="dxa"/>
            <w:tcBorders>
              <w:top w:val="nil"/>
              <w:left w:val="nil"/>
              <w:bottom w:val="single" w:color="000000" w:sz="8" w:space="0"/>
              <w:right w:val="single" w:color="000000" w:sz="8" w:space="0"/>
            </w:tcBorders>
            <w:vAlign w:val="center"/>
          </w:tcPr>
          <w:p w14:paraId="08DCA03C">
            <w:r>
              <w:rPr>
                <w:rFonts w:hint="eastAsia"/>
              </w:rPr>
              <w:t>A02052399其他制冷空调设备</w:t>
            </w:r>
          </w:p>
        </w:tc>
        <w:tc>
          <w:tcPr>
            <w:tcW w:w="1620" w:type="dxa"/>
            <w:tcBorders>
              <w:top w:val="nil"/>
              <w:left w:val="nil"/>
              <w:bottom w:val="single" w:color="000000" w:sz="8" w:space="0"/>
              <w:right w:val="single" w:color="000000" w:sz="8" w:space="0"/>
            </w:tcBorders>
            <w:vAlign w:val="center"/>
          </w:tcPr>
          <w:p w14:paraId="694C1EB0">
            <w:r>
              <w:rPr>
                <w:rFonts w:hint="eastAsia"/>
              </w:rPr>
              <w:t>冷却塔</w:t>
            </w:r>
          </w:p>
        </w:tc>
        <w:tc>
          <w:tcPr>
            <w:tcW w:w="4540" w:type="dxa"/>
            <w:tcBorders>
              <w:top w:val="nil"/>
              <w:left w:val="nil"/>
              <w:bottom w:val="single" w:color="000000" w:sz="8" w:space="0"/>
              <w:right w:val="single" w:color="000000" w:sz="8" w:space="0"/>
            </w:tcBorders>
            <w:vAlign w:val="center"/>
          </w:tcPr>
          <w:p w14:paraId="0670B9A3">
            <w:r>
              <w:rPr>
                <w:rFonts w:hint="eastAsia"/>
              </w:rPr>
              <w:t>《机械通风冷却塔第1部分：中小型开式冷却塔》（GB/T7190.1）；《机械通风冷却塔第2部分：大型开式冷却塔》（GB/T7190.2）</w:t>
            </w:r>
          </w:p>
        </w:tc>
      </w:tr>
      <w:tr w14:paraId="1BD61DE8">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6CA8EF03">
            <w:r>
              <w:rPr>
                <w:rFonts w:hint="eastAsia"/>
              </w:rPr>
              <w:t>7</w:t>
            </w:r>
          </w:p>
        </w:tc>
        <w:tc>
          <w:tcPr>
            <w:tcW w:w="1080" w:type="dxa"/>
            <w:tcBorders>
              <w:top w:val="nil"/>
              <w:left w:val="nil"/>
              <w:bottom w:val="single" w:color="000000" w:sz="8" w:space="0"/>
              <w:right w:val="single" w:color="000000" w:sz="8" w:space="0"/>
            </w:tcBorders>
            <w:vAlign w:val="center"/>
          </w:tcPr>
          <w:p w14:paraId="5C7D7C98">
            <w:r>
              <w:rPr>
                <w:rFonts w:hint="eastAsia"/>
              </w:rPr>
              <w:t>A020601电机</w:t>
            </w:r>
          </w:p>
        </w:tc>
        <w:tc>
          <w:tcPr>
            <w:tcW w:w="1320" w:type="dxa"/>
            <w:tcBorders>
              <w:top w:val="nil"/>
              <w:left w:val="nil"/>
              <w:bottom w:val="single" w:color="000000" w:sz="8" w:space="0"/>
              <w:right w:val="single" w:color="000000" w:sz="8" w:space="0"/>
            </w:tcBorders>
            <w:vAlign w:val="center"/>
          </w:tcPr>
          <w:p w14:paraId="47F89134">
            <w:r>
              <w:rPr>
                <w:rFonts w:hint="eastAsia"/>
              </w:rPr>
              <w:t>　</w:t>
            </w:r>
          </w:p>
        </w:tc>
        <w:tc>
          <w:tcPr>
            <w:tcW w:w="1620" w:type="dxa"/>
            <w:tcBorders>
              <w:top w:val="nil"/>
              <w:left w:val="nil"/>
              <w:bottom w:val="single" w:color="000000" w:sz="8" w:space="0"/>
              <w:right w:val="single" w:color="000000" w:sz="8" w:space="0"/>
            </w:tcBorders>
            <w:vAlign w:val="center"/>
          </w:tcPr>
          <w:p w14:paraId="10C89134">
            <w:r>
              <w:rPr>
                <w:rFonts w:hint="eastAsia"/>
              </w:rPr>
              <w:t>　</w:t>
            </w:r>
          </w:p>
        </w:tc>
        <w:tc>
          <w:tcPr>
            <w:tcW w:w="4540" w:type="dxa"/>
            <w:tcBorders>
              <w:top w:val="nil"/>
              <w:left w:val="nil"/>
              <w:bottom w:val="single" w:color="000000" w:sz="8" w:space="0"/>
              <w:right w:val="single" w:color="000000" w:sz="8" w:space="0"/>
            </w:tcBorders>
            <w:vAlign w:val="center"/>
          </w:tcPr>
          <w:p w14:paraId="0557388B">
            <w:r>
              <w:rPr>
                <w:rFonts w:hint="eastAsia"/>
              </w:rPr>
              <w:t>《中小型三相异步电动机能效限定值及能效等级》（GB18613）</w:t>
            </w:r>
          </w:p>
        </w:tc>
      </w:tr>
      <w:tr w14:paraId="4A0AE95C">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2A454162">
            <w:r>
              <w:rPr>
                <w:rFonts w:hint="eastAsia"/>
              </w:rPr>
              <w:t>8</w:t>
            </w:r>
          </w:p>
        </w:tc>
        <w:tc>
          <w:tcPr>
            <w:tcW w:w="1080" w:type="dxa"/>
            <w:tcBorders>
              <w:top w:val="nil"/>
              <w:left w:val="nil"/>
              <w:bottom w:val="single" w:color="000000" w:sz="8" w:space="0"/>
              <w:right w:val="single" w:color="000000" w:sz="8" w:space="0"/>
            </w:tcBorders>
            <w:vAlign w:val="center"/>
          </w:tcPr>
          <w:p w14:paraId="2AD8D908">
            <w:r>
              <w:rPr>
                <w:rFonts w:hint="eastAsia"/>
              </w:rPr>
              <w:t>A020602变压器</w:t>
            </w:r>
          </w:p>
        </w:tc>
        <w:tc>
          <w:tcPr>
            <w:tcW w:w="1320" w:type="dxa"/>
            <w:tcBorders>
              <w:top w:val="nil"/>
              <w:left w:val="nil"/>
              <w:bottom w:val="single" w:color="000000" w:sz="8" w:space="0"/>
              <w:right w:val="single" w:color="000000" w:sz="8" w:space="0"/>
            </w:tcBorders>
            <w:vAlign w:val="center"/>
          </w:tcPr>
          <w:p w14:paraId="3855A095">
            <w:r>
              <w:rPr>
                <w:rFonts w:hint="eastAsia"/>
              </w:rPr>
              <w:t>配电变压器</w:t>
            </w:r>
          </w:p>
        </w:tc>
        <w:tc>
          <w:tcPr>
            <w:tcW w:w="1620" w:type="dxa"/>
            <w:tcBorders>
              <w:top w:val="nil"/>
              <w:left w:val="nil"/>
              <w:bottom w:val="single" w:color="000000" w:sz="8" w:space="0"/>
              <w:right w:val="single" w:color="000000" w:sz="8" w:space="0"/>
            </w:tcBorders>
            <w:vAlign w:val="center"/>
          </w:tcPr>
          <w:p w14:paraId="510A868F">
            <w:r>
              <w:rPr>
                <w:rFonts w:hint="eastAsia"/>
              </w:rPr>
              <w:t>　</w:t>
            </w:r>
          </w:p>
        </w:tc>
        <w:tc>
          <w:tcPr>
            <w:tcW w:w="4540" w:type="dxa"/>
            <w:tcBorders>
              <w:top w:val="nil"/>
              <w:left w:val="nil"/>
              <w:bottom w:val="single" w:color="000000" w:sz="8" w:space="0"/>
              <w:right w:val="single" w:color="000000" w:sz="8" w:space="0"/>
            </w:tcBorders>
            <w:vAlign w:val="center"/>
          </w:tcPr>
          <w:p w14:paraId="00C6BB55">
            <w:r>
              <w:rPr>
                <w:rFonts w:hint="eastAsia"/>
              </w:rPr>
              <w:t>《三相配电变压器能效限定值及能效等级》（GB20052）</w:t>
            </w:r>
          </w:p>
        </w:tc>
      </w:tr>
      <w:tr w14:paraId="00B046F1">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035B56E8">
            <w:r>
              <w:rPr>
                <w:rFonts w:hint="eastAsia"/>
              </w:rPr>
              <w:t>9</w:t>
            </w:r>
          </w:p>
        </w:tc>
        <w:tc>
          <w:tcPr>
            <w:tcW w:w="1080" w:type="dxa"/>
            <w:tcBorders>
              <w:top w:val="nil"/>
              <w:left w:val="nil"/>
              <w:bottom w:val="single" w:color="000000" w:sz="8" w:space="0"/>
              <w:right w:val="single" w:color="000000" w:sz="8" w:space="0"/>
            </w:tcBorders>
            <w:vAlign w:val="center"/>
          </w:tcPr>
          <w:p w14:paraId="2FC31B13">
            <w:r>
              <w:rPr>
                <w:rFonts w:hint="eastAsia"/>
              </w:rPr>
              <w:t>★A020609镇流器</w:t>
            </w:r>
          </w:p>
        </w:tc>
        <w:tc>
          <w:tcPr>
            <w:tcW w:w="1320" w:type="dxa"/>
            <w:tcBorders>
              <w:top w:val="nil"/>
              <w:left w:val="nil"/>
              <w:bottom w:val="single" w:color="000000" w:sz="8" w:space="0"/>
              <w:right w:val="single" w:color="000000" w:sz="8" w:space="0"/>
            </w:tcBorders>
            <w:vAlign w:val="center"/>
          </w:tcPr>
          <w:p w14:paraId="5729C6DE">
            <w:r>
              <w:rPr>
                <w:rFonts w:hint="eastAsia"/>
              </w:rPr>
              <w:t>管型荧光灯镇流器</w:t>
            </w:r>
          </w:p>
        </w:tc>
        <w:tc>
          <w:tcPr>
            <w:tcW w:w="1620" w:type="dxa"/>
            <w:tcBorders>
              <w:top w:val="nil"/>
              <w:left w:val="nil"/>
              <w:bottom w:val="single" w:color="000000" w:sz="8" w:space="0"/>
              <w:right w:val="single" w:color="000000" w:sz="8" w:space="0"/>
            </w:tcBorders>
            <w:vAlign w:val="center"/>
          </w:tcPr>
          <w:p w14:paraId="613A6CAB">
            <w:r>
              <w:rPr>
                <w:rFonts w:hint="eastAsia"/>
              </w:rPr>
              <w:t>　</w:t>
            </w:r>
          </w:p>
        </w:tc>
        <w:tc>
          <w:tcPr>
            <w:tcW w:w="4540" w:type="dxa"/>
            <w:tcBorders>
              <w:top w:val="nil"/>
              <w:left w:val="nil"/>
              <w:bottom w:val="single" w:color="000000" w:sz="8" w:space="0"/>
              <w:right w:val="single" w:color="000000" w:sz="8" w:space="0"/>
            </w:tcBorders>
            <w:vAlign w:val="center"/>
          </w:tcPr>
          <w:p w14:paraId="2AF339B3">
            <w:r>
              <w:rPr>
                <w:rFonts w:hint="eastAsia"/>
              </w:rPr>
              <w:t>《管形荧光灯镇流器能效限定值及能效等级》（GB17896）</w:t>
            </w:r>
          </w:p>
        </w:tc>
      </w:tr>
      <w:tr w14:paraId="15E04FB7">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6ED10C00">
            <w:r>
              <w:rPr>
                <w:rFonts w:hint="eastAsia"/>
              </w:rPr>
              <w:t>10</w:t>
            </w:r>
          </w:p>
        </w:tc>
        <w:tc>
          <w:tcPr>
            <w:tcW w:w="1080" w:type="dxa"/>
            <w:vMerge w:val="restart"/>
            <w:tcBorders>
              <w:top w:val="nil"/>
              <w:left w:val="single" w:color="000000" w:sz="8" w:space="0"/>
              <w:bottom w:val="single" w:color="000000" w:sz="8" w:space="0"/>
              <w:right w:val="single" w:color="000000" w:sz="8" w:space="0"/>
            </w:tcBorders>
            <w:vAlign w:val="center"/>
          </w:tcPr>
          <w:p w14:paraId="2EE510D8">
            <w:r>
              <w:rPr>
                <w:rFonts w:hint="eastAsia"/>
              </w:rPr>
              <w:t>A020618生活用电器</w:t>
            </w:r>
          </w:p>
        </w:tc>
        <w:tc>
          <w:tcPr>
            <w:tcW w:w="1320" w:type="dxa"/>
            <w:tcBorders>
              <w:top w:val="nil"/>
              <w:left w:val="nil"/>
              <w:bottom w:val="single" w:color="000000" w:sz="8" w:space="0"/>
              <w:right w:val="single" w:color="000000" w:sz="8" w:space="0"/>
            </w:tcBorders>
            <w:vAlign w:val="center"/>
          </w:tcPr>
          <w:p w14:paraId="4FD16283">
            <w:r>
              <w:rPr>
                <w:rFonts w:hint="eastAsia"/>
              </w:rPr>
              <w:t>A0206180101电冰箱</w:t>
            </w:r>
          </w:p>
        </w:tc>
        <w:tc>
          <w:tcPr>
            <w:tcW w:w="1620" w:type="dxa"/>
            <w:tcBorders>
              <w:top w:val="nil"/>
              <w:left w:val="nil"/>
              <w:bottom w:val="single" w:color="000000" w:sz="8" w:space="0"/>
              <w:right w:val="single" w:color="000000" w:sz="8" w:space="0"/>
            </w:tcBorders>
            <w:vAlign w:val="center"/>
          </w:tcPr>
          <w:p w14:paraId="7BC2B5A1">
            <w:r>
              <w:rPr>
                <w:rFonts w:hint="eastAsia"/>
              </w:rPr>
              <w:t>　</w:t>
            </w:r>
          </w:p>
        </w:tc>
        <w:tc>
          <w:tcPr>
            <w:tcW w:w="4540" w:type="dxa"/>
            <w:tcBorders>
              <w:top w:val="nil"/>
              <w:left w:val="nil"/>
              <w:bottom w:val="single" w:color="000000" w:sz="8" w:space="0"/>
              <w:right w:val="single" w:color="000000" w:sz="8" w:space="0"/>
            </w:tcBorders>
            <w:vAlign w:val="center"/>
          </w:tcPr>
          <w:p w14:paraId="64602864">
            <w:r>
              <w:rPr>
                <w:rFonts w:hint="eastAsia"/>
              </w:rPr>
              <w:t>《家用电冰箱耗电量限定值及能效等级》（GB 12021.2）</w:t>
            </w:r>
          </w:p>
        </w:tc>
      </w:tr>
      <w:tr w14:paraId="1E3DED66">
        <w:tblPrEx>
          <w:tblCellMar>
            <w:top w:w="0" w:type="dxa"/>
            <w:left w:w="108" w:type="dxa"/>
            <w:bottom w:w="0" w:type="dxa"/>
            <w:right w:w="108" w:type="dxa"/>
          </w:tblCellMar>
        </w:tblPrEx>
        <w:trPr>
          <w:trHeight w:val="97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36442DBC"/>
        </w:tc>
        <w:tc>
          <w:tcPr>
            <w:tcW w:w="1080" w:type="dxa"/>
            <w:vMerge w:val="continue"/>
            <w:tcBorders>
              <w:top w:val="nil"/>
              <w:left w:val="single" w:color="000000" w:sz="8" w:space="0"/>
              <w:bottom w:val="single" w:color="000000" w:sz="8" w:space="0"/>
              <w:right w:val="single" w:color="000000" w:sz="8" w:space="0"/>
            </w:tcBorders>
            <w:vAlign w:val="center"/>
          </w:tcPr>
          <w:p w14:paraId="12F46FD7"/>
        </w:tc>
        <w:tc>
          <w:tcPr>
            <w:tcW w:w="1320" w:type="dxa"/>
            <w:vMerge w:val="restart"/>
            <w:tcBorders>
              <w:top w:val="nil"/>
              <w:left w:val="single" w:color="000000" w:sz="8" w:space="0"/>
              <w:bottom w:val="single" w:color="000000" w:sz="8" w:space="0"/>
              <w:right w:val="single" w:color="000000" w:sz="8" w:space="0"/>
            </w:tcBorders>
            <w:vAlign w:val="center"/>
          </w:tcPr>
          <w:p w14:paraId="0EC6C141">
            <w:r>
              <w:rPr>
                <w:rFonts w:hint="eastAsia"/>
              </w:rPr>
              <w:t>★A0206180203空调机</w:t>
            </w:r>
          </w:p>
        </w:tc>
        <w:tc>
          <w:tcPr>
            <w:tcW w:w="1620" w:type="dxa"/>
            <w:tcBorders>
              <w:top w:val="nil"/>
              <w:left w:val="nil"/>
              <w:bottom w:val="single" w:color="000000" w:sz="8" w:space="0"/>
              <w:right w:val="single" w:color="000000" w:sz="8" w:space="0"/>
            </w:tcBorders>
            <w:vAlign w:val="center"/>
          </w:tcPr>
          <w:p w14:paraId="50B2F9AB">
            <w:r>
              <w:rPr>
                <w:rFonts w:hint="eastAsia"/>
              </w:rPr>
              <w:t>房间空气调节器</w:t>
            </w:r>
          </w:p>
        </w:tc>
        <w:tc>
          <w:tcPr>
            <w:tcW w:w="4540" w:type="dxa"/>
            <w:tcBorders>
              <w:top w:val="nil"/>
              <w:left w:val="nil"/>
              <w:bottom w:val="single" w:color="000000" w:sz="8" w:space="0"/>
              <w:right w:val="single" w:color="000000" w:sz="8" w:space="0"/>
            </w:tcBorders>
            <w:vAlign w:val="center"/>
          </w:tcPr>
          <w:p w14:paraId="7A040512">
            <w:r>
              <w:rPr>
                <w:rFonts w:hint="eastAsia"/>
              </w:rPr>
              <w:t>《转速可控型房间空气调节器能效限定值及能效等级》（GB21455-2013），待2019年修订发布后，按《房间空气调节器能效限定值及能效等级》（GB21455-2019实施。</w:t>
            </w:r>
          </w:p>
        </w:tc>
      </w:tr>
      <w:tr w14:paraId="075C13BF">
        <w:tblPrEx>
          <w:tblCellMar>
            <w:top w:w="0" w:type="dxa"/>
            <w:left w:w="108" w:type="dxa"/>
            <w:bottom w:w="0" w:type="dxa"/>
            <w:right w:w="108" w:type="dxa"/>
          </w:tblCellMar>
        </w:tblPrEx>
        <w:trPr>
          <w:trHeight w:val="73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24C0C271"/>
        </w:tc>
        <w:tc>
          <w:tcPr>
            <w:tcW w:w="1080" w:type="dxa"/>
            <w:vMerge w:val="continue"/>
            <w:tcBorders>
              <w:top w:val="nil"/>
              <w:left w:val="single" w:color="000000" w:sz="8" w:space="0"/>
              <w:bottom w:val="single" w:color="000000" w:sz="8" w:space="0"/>
              <w:right w:val="single" w:color="000000" w:sz="8" w:space="0"/>
            </w:tcBorders>
            <w:vAlign w:val="center"/>
          </w:tcPr>
          <w:p w14:paraId="7089A6F0"/>
        </w:tc>
        <w:tc>
          <w:tcPr>
            <w:tcW w:w="1320" w:type="dxa"/>
            <w:vMerge w:val="continue"/>
            <w:tcBorders>
              <w:top w:val="nil"/>
              <w:left w:val="single" w:color="000000" w:sz="8" w:space="0"/>
              <w:bottom w:val="single" w:color="000000" w:sz="8" w:space="0"/>
              <w:right w:val="single" w:color="000000" w:sz="8" w:space="0"/>
            </w:tcBorders>
            <w:vAlign w:val="center"/>
          </w:tcPr>
          <w:p w14:paraId="7F71C7B4"/>
        </w:tc>
        <w:tc>
          <w:tcPr>
            <w:tcW w:w="1620" w:type="dxa"/>
            <w:tcBorders>
              <w:top w:val="nil"/>
              <w:left w:val="nil"/>
              <w:bottom w:val="single" w:color="000000" w:sz="8" w:space="0"/>
              <w:right w:val="single" w:color="000000" w:sz="8" w:space="0"/>
            </w:tcBorders>
            <w:vAlign w:val="center"/>
          </w:tcPr>
          <w:p w14:paraId="5C8A9186">
            <w:r>
              <w:rPr>
                <w:rFonts w:hint="eastAsia"/>
              </w:rPr>
              <w:t>多联式空调（热泵）机组（制冷量≤ 14000W）</w:t>
            </w:r>
          </w:p>
        </w:tc>
        <w:tc>
          <w:tcPr>
            <w:tcW w:w="4540" w:type="dxa"/>
            <w:tcBorders>
              <w:top w:val="nil"/>
              <w:left w:val="nil"/>
              <w:bottom w:val="single" w:color="000000" w:sz="8" w:space="0"/>
              <w:right w:val="single" w:color="000000" w:sz="8" w:space="0"/>
            </w:tcBorders>
            <w:vAlign w:val="center"/>
          </w:tcPr>
          <w:p w14:paraId="0B1C4AEC">
            <w:r>
              <w:rPr>
                <w:rFonts w:hint="eastAsia"/>
              </w:rPr>
              <w:t>《多联式空调（热泵）机组能效限定值及能源效率等级》（GB21454）</w:t>
            </w:r>
          </w:p>
        </w:tc>
      </w:tr>
      <w:tr w14:paraId="7082D9C9">
        <w:tblPrEx>
          <w:tblCellMar>
            <w:top w:w="0" w:type="dxa"/>
            <w:left w:w="108" w:type="dxa"/>
            <w:bottom w:w="0" w:type="dxa"/>
            <w:right w:w="108" w:type="dxa"/>
          </w:tblCellMar>
        </w:tblPrEx>
        <w:trPr>
          <w:trHeight w:val="73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779054DB"/>
        </w:tc>
        <w:tc>
          <w:tcPr>
            <w:tcW w:w="1080" w:type="dxa"/>
            <w:vMerge w:val="continue"/>
            <w:tcBorders>
              <w:top w:val="nil"/>
              <w:left w:val="single" w:color="000000" w:sz="8" w:space="0"/>
              <w:bottom w:val="single" w:color="000000" w:sz="8" w:space="0"/>
              <w:right w:val="single" w:color="000000" w:sz="8" w:space="0"/>
            </w:tcBorders>
            <w:vAlign w:val="center"/>
          </w:tcPr>
          <w:p w14:paraId="03FBEAC1"/>
        </w:tc>
        <w:tc>
          <w:tcPr>
            <w:tcW w:w="1320" w:type="dxa"/>
            <w:vMerge w:val="continue"/>
            <w:tcBorders>
              <w:top w:val="nil"/>
              <w:left w:val="single" w:color="000000" w:sz="8" w:space="0"/>
              <w:bottom w:val="single" w:color="000000" w:sz="8" w:space="0"/>
              <w:right w:val="single" w:color="000000" w:sz="8" w:space="0"/>
            </w:tcBorders>
            <w:vAlign w:val="center"/>
          </w:tcPr>
          <w:p w14:paraId="536D5003"/>
        </w:tc>
        <w:tc>
          <w:tcPr>
            <w:tcW w:w="1620" w:type="dxa"/>
            <w:tcBorders>
              <w:top w:val="nil"/>
              <w:left w:val="nil"/>
              <w:bottom w:val="single" w:color="000000" w:sz="8" w:space="0"/>
              <w:right w:val="single" w:color="000000" w:sz="8" w:space="0"/>
            </w:tcBorders>
            <w:vAlign w:val="center"/>
          </w:tcPr>
          <w:p w14:paraId="4177A1B3">
            <w:r>
              <w:rPr>
                <w:rFonts w:hint="eastAsia"/>
              </w:rPr>
              <w:t>单元式空气调节机(制冷量≤14000W)</w:t>
            </w:r>
          </w:p>
        </w:tc>
        <w:tc>
          <w:tcPr>
            <w:tcW w:w="4540" w:type="dxa"/>
            <w:tcBorders>
              <w:top w:val="nil"/>
              <w:left w:val="nil"/>
              <w:bottom w:val="single" w:color="000000" w:sz="8" w:space="0"/>
              <w:right w:val="single" w:color="000000" w:sz="8" w:space="0"/>
            </w:tcBorders>
            <w:vAlign w:val="center"/>
          </w:tcPr>
          <w:p w14:paraId="4D2230C4">
            <w:r>
              <w:rPr>
                <w:rFonts w:hint="eastAsia"/>
              </w:rPr>
              <w:t>《单元式空气调节机能效限定值及能源效率等级》（GB19576）《风管送风式空调机组能效限定值及能效等级》（GB37479）</w:t>
            </w:r>
          </w:p>
        </w:tc>
      </w:tr>
      <w:tr w14:paraId="3609AC6A">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3240050F"/>
        </w:tc>
        <w:tc>
          <w:tcPr>
            <w:tcW w:w="1080" w:type="dxa"/>
            <w:vMerge w:val="continue"/>
            <w:tcBorders>
              <w:top w:val="nil"/>
              <w:left w:val="single" w:color="000000" w:sz="8" w:space="0"/>
              <w:bottom w:val="single" w:color="000000" w:sz="8" w:space="0"/>
              <w:right w:val="single" w:color="000000" w:sz="8" w:space="0"/>
            </w:tcBorders>
            <w:vAlign w:val="center"/>
          </w:tcPr>
          <w:p w14:paraId="0F497A23"/>
        </w:tc>
        <w:tc>
          <w:tcPr>
            <w:tcW w:w="1320" w:type="dxa"/>
            <w:tcBorders>
              <w:top w:val="nil"/>
              <w:left w:val="nil"/>
              <w:bottom w:val="single" w:color="000000" w:sz="8" w:space="0"/>
              <w:right w:val="single" w:color="000000" w:sz="8" w:space="0"/>
            </w:tcBorders>
            <w:vAlign w:val="center"/>
          </w:tcPr>
          <w:p w14:paraId="77B2FC8E">
            <w:r>
              <w:rPr>
                <w:rFonts w:hint="eastAsia"/>
              </w:rPr>
              <w:t>A0206180301洗衣机</w:t>
            </w:r>
          </w:p>
        </w:tc>
        <w:tc>
          <w:tcPr>
            <w:tcW w:w="1620" w:type="dxa"/>
            <w:tcBorders>
              <w:top w:val="nil"/>
              <w:left w:val="nil"/>
              <w:bottom w:val="single" w:color="000000" w:sz="8" w:space="0"/>
              <w:right w:val="single" w:color="000000" w:sz="8" w:space="0"/>
            </w:tcBorders>
            <w:vAlign w:val="center"/>
          </w:tcPr>
          <w:p w14:paraId="6F9C1D77">
            <w:r>
              <w:rPr>
                <w:rFonts w:hint="eastAsia"/>
              </w:rPr>
              <w:t>　</w:t>
            </w:r>
          </w:p>
        </w:tc>
        <w:tc>
          <w:tcPr>
            <w:tcW w:w="4540" w:type="dxa"/>
            <w:tcBorders>
              <w:top w:val="nil"/>
              <w:left w:val="nil"/>
              <w:bottom w:val="single" w:color="000000" w:sz="8" w:space="0"/>
              <w:right w:val="single" w:color="000000" w:sz="8" w:space="0"/>
            </w:tcBorders>
            <w:vAlign w:val="center"/>
          </w:tcPr>
          <w:p w14:paraId="7C185E50">
            <w:r>
              <w:rPr>
                <w:rFonts w:hint="eastAsia"/>
              </w:rPr>
              <w:t>《电动洗衣机能效水效限定值及等级》（GB12021.4）</w:t>
            </w:r>
          </w:p>
        </w:tc>
      </w:tr>
      <w:tr w14:paraId="0F0F4AD9">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29074DC2"/>
        </w:tc>
        <w:tc>
          <w:tcPr>
            <w:tcW w:w="1080" w:type="dxa"/>
            <w:vMerge w:val="continue"/>
            <w:tcBorders>
              <w:top w:val="nil"/>
              <w:left w:val="single" w:color="000000" w:sz="8" w:space="0"/>
              <w:bottom w:val="single" w:color="000000" w:sz="8" w:space="0"/>
              <w:right w:val="single" w:color="000000" w:sz="8" w:space="0"/>
            </w:tcBorders>
            <w:vAlign w:val="center"/>
          </w:tcPr>
          <w:p w14:paraId="11745F43"/>
        </w:tc>
        <w:tc>
          <w:tcPr>
            <w:tcW w:w="1320" w:type="dxa"/>
            <w:vMerge w:val="restart"/>
            <w:tcBorders>
              <w:top w:val="nil"/>
              <w:left w:val="single" w:color="000000" w:sz="8" w:space="0"/>
              <w:bottom w:val="single" w:color="000000" w:sz="8" w:space="0"/>
              <w:right w:val="single" w:color="000000" w:sz="8" w:space="0"/>
            </w:tcBorders>
            <w:vAlign w:val="center"/>
          </w:tcPr>
          <w:p w14:paraId="23AAC5C3">
            <w:r>
              <w:rPr>
                <w:rFonts w:hint="eastAsia"/>
              </w:rPr>
              <w:t>A02061808热水器</w:t>
            </w:r>
          </w:p>
        </w:tc>
        <w:tc>
          <w:tcPr>
            <w:tcW w:w="1620" w:type="dxa"/>
            <w:tcBorders>
              <w:top w:val="nil"/>
              <w:left w:val="nil"/>
              <w:bottom w:val="single" w:color="000000" w:sz="8" w:space="0"/>
              <w:right w:val="single" w:color="000000" w:sz="8" w:space="0"/>
            </w:tcBorders>
            <w:vAlign w:val="center"/>
          </w:tcPr>
          <w:p w14:paraId="1D98C033">
            <w:r>
              <w:rPr>
                <w:rFonts w:hint="eastAsia"/>
              </w:rPr>
              <w:t>★电热水器</w:t>
            </w:r>
          </w:p>
        </w:tc>
        <w:tc>
          <w:tcPr>
            <w:tcW w:w="4540" w:type="dxa"/>
            <w:tcBorders>
              <w:top w:val="nil"/>
              <w:left w:val="nil"/>
              <w:bottom w:val="single" w:color="000000" w:sz="8" w:space="0"/>
              <w:right w:val="single" w:color="000000" w:sz="8" w:space="0"/>
            </w:tcBorders>
            <w:vAlign w:val="center"/>
          </w:tcPr>
          <w:p w14:paraId="1F29801C">
            <w:r>
              <w:rPr>
                <w:rFonts w:hint="eastAsia"/>
              </w:rPr>
              <w:t>《储水式电热水器能效限定值及能效等级》（GB21519）</w:t>
            </w:r>
          </w:p>
        </w:tc>
      </w:tr>
      <w:tr w14:paraId="7884AC62">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2969003A"/>
        </w:tc>
        <w:tc>
          <w:tcPr>
            <w:tcW w:w="1080" w:type="dxa"/>
            <w:vMerge w:val="continue"/>
            <w:tcBorders>
              <w:top w:val="nil"/>
              <w:left w:val="single" w:color="000000" w:sz="8" w:space="0"/>
              <w:bottom w:val="single" w:color="000000" w:sz="8" w:space="0"/>
              <w:right w:val="single" w:color="000000" w:sz="8" w:space="0"/>
            </w:tcBorders>
            <w:vAlign w:val="center"/>
          </w:tcPr>
          <w:p w14:paraId="33B71AAC"/>
        </w:tc>
        <w:tc>
          <w:tcPr>
            <w:tcW w:w="1320" w:type="dxa"/>
            <w:vMerge w:val="continue"/>
            <w:tcBorders>
              <w:top w:val="nil"/>
              <w:left w:val="single" w:color="000000" w:sz="8" w:space="0"/>
              <w:bottom w:val="single" w:color="000000" w:sz="8" w:space="0"/>
              <w:right w:val="single" w:color="000000" w:sz="8" w:space="0"/>
            </w:tcBorders>
            <w:vAlign w:val="center"/>
          </w:tcPr>
          <w:p w14:paraId="7938DBB9"/>
        </w:tc>
        <w:tc>
          <w:tcPr>
            <w:tcW w:w="1620" w:type="dxa"/>
            <w:tcBorders>
              <w:top w:val="nil"/>
              <w:left w:val="nil"/>
              <w:bottom w:val="single" w:color="000000" w:sz="8" w:space="0"/>
              <w:right w:val="single" w:color="000000" w:sz="8" w:space="0"/>
            </w:tcBorders>
            <w:vAlign w:val="center"/>
          </w:tcPr>
          <w:p w14:paraId="43964060">
            <w:r>
              <w:rPr>
                <w:rFonts w:hint="eastAsia"/>
              </w:rPr>
              <w:t>燃气热水器</w:t>
            </w:r>
          </w:p>
        </w:tc>
        <w:tc>
          <w:tcPr>
            <w:tcW w:w="4540" w:type="dxa"/>
            <w:tcBorders>
              <w:top w:val="nil"/>
              <w:left w:val="nil"/>
              <w:bottom w:val="single" w:color="000000" w:sz="8" w:space="0"/>
              <w:right w:val="single" w:color="000000" w:sz="8" w:space="0"/>
            </w:tcBorders>
            <w:vAlign w:val="center"/>
          </w:tcPr>
          <w:p w14:paraId="51D1005E">
            <w:r>
              <w:rPr>
                <w:rFonts w:hint="eastAsia"/>
              </w:rPr>
              <w:t>《家用燃气快速热水器和燃气采暖热水炉能效限定值及能效等级》（GB20665）</w:t>
            </w:r>
          </w:p>
        </w:tc>
      </w:tr>
      <w:tr w14:paraId="6CDE2B2F">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71B84174"/>
        </w:tc>
        <w:tc>
          <w:tcPr>
            <w:tcW w:w="1080" w:type="dxa"/>
            <w:vMerge w:val="continue"/>
            <w:tcBorders>
              <w:top w:val="nil"/>
              <w:left w:val="single" w:color="000000" w:sz="8" w:space="0"/>
              <w:bottom w:val="single" w:color="000000" w:sz="8" w:space="0"/>
              <w:right w:val="single" w:color="000000" w:sz="8" w:space="0"/>
            </w:tcBorders>
            <w:vAlign w:val="center"/>
          </w:tcPr>
          <w:p w14:paraId="24F61E65"/>
        </w:tc>
        <w:tc>
          <w:tcPr>
            <w:tcW w:w="1320" w:type="dxa"/>
            <w:vMerge w:val="continue"/>
            <w:tcBorders>
              <w:top w:val="nil"/>
              <w:left w:val="single" w:color="000000" w:sz="8" w:space="0"/>
              <w:bottom w:val="single" w:color="000000" w:sz="8" w:space="0"/>
              <w:right w:val="single" w:color="000000" w:sz="8" w:space="0"/>
            </w:tcBorders>
            <w:vAlign w:val="center"/>
          </w:tcPr>
          <w:p w14:paraId="10F5AF99"/>
        </w:tc>
        <w:tc>
          <w:tcPr>
            <w:tcW w:w="1620" w:type="dxa"/>
            <w:tcBorders>
              <w:top w:val="nil"/>
              <w:left w:val="nil"/>
              <w:bottom w:val="single" w:color="000000" w:sz="8" w:space="0"/>
              <w:right w:val="single" w:color="000000" w:sz="8" w:space="0"/>
            </w:tcBorders>
            <w:vAlign w:val="center"/>
          </w:tcPr>
          <w:p w14:paraId="599FEDB6">
            <w:r>
              <w:rPr>
                <w:rFonts w:hint="eastAsia"/>
              </w:rPr>
              <w:t>热泵热水器</w:t>
            </w:r>
          </w:p>
        </w:tc>
        <w:tc>
          <w:tcPr>
            <w:tcW w:w="4540" w:type="dxa"/>
            <w:tcBorders>
              <w:top w:val="nil"/>
              <w:left w:val="nil"/>
              <w:bottom w:val="single" w:color="000000" w:sz="8" w:space="0"/>
              <w:right w:val="single" w:color="000000" w:sz="8" w:space="0"/>
            </w:tcBorders>
            <w:vAlign w:val="center"/>
          </w:tcPr>
          <w:p w14:paraId="75FD2C5D">
            <w:r>
              <w:rPr>
                <w:rFonts w:hint="eastAsia"/>
              </w:rPr>
              <w:t>《热泵热水机（器）能效限定值及能效等级》（GB29541）</w:t>
            </w:r>
          </w:p>
        </w:tc>
      </w:tr>
      <w:tr w14:paraId="4CD7D17A">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55E1BA69"/>
        </w:tc>
        <w:tc>
          <w:tcPr>
            <w:tcW w:w="1080" w:type="dxa"/>
            <w:vMerge w:val="continue"/>
            <w:tcBorders>
              <w:top w:val="nil"/>
              <w:left w:val="single" w:color="000000" w:sz="8" w:space="0"/>
              <w:bottom w:val="single" w:color="000000" w:sz="8" w:space="0"/>
              <w:right w:val="single" w:color="000000" w:sz="8" w:space="0"/>
            </w:tcBorders>
            <w:vAlign w:val="center"/>
          </w:tcPr>
          <w:p w14:paraId="7AAB3C89"/>
        </w:tc>
        <w:tc>
          <w:tcPr>
            <w:tcW w:w="1320" w:type="dxa"/>
            <w:vMerge w:val="continue"/>
            <w:tcBorders>
              <w:top w:val="nil"/>
              <w:left w:val="single" w:color="000000" w:sz="8" w:space="0"/>
              <w:bottom w:val="single" w:color="000000" w:sz="8" w:space="0"/>
              <w:right w:val="single" w:color="000000" w:sz="8" w:space="0"/>
            </w:tcBorders>
            <w:vAlign w:val="center"/>
          </w:tcPr>
          <w:p w14:paraId="72E4CD73"/>
        </w:tc>
        <w:tc>
          <w:tcPr>
            <w:tcW w:w="1620" w:type="dxa"/>
            <w:tcBorders>
              <w:top w:val="nil"/>
              <w:left w:val="nil"/>
              <w:bottom w:val="single" w:color="000000" w:sz="8" w:space="0"/>
              <w:right w:val="single" w:color="000000" w:sz="8" w:space="0"/>
            </w:tcBorders>
            <w:vAlign w:val="center"/>
          </w:tcPr>
          <w:p w14:paraId="376C10D8">
            <w:r>
              <w:rPr>
                <w:rFonts w:hint="eastAsia"/>
              </w:rPr>
              <w:t>太阳能热水系统</w:t>
            </w:r>
          </w:p>
        </w:tc>
        <w:tc>
          <w:tcPr>
            <w:tcW w:w="4540" w:type="dxa"/>
            <w:tcBorders>
              <w:top w:val="nil"/>
              <w:left w:val="nil"/>
              <w:bottom w:val="single" w:color="000000" w:sz="8" w:space="0"/>
              <w:right w:val="single" w:color="000000" w:sz="8" w:space="0"/>
            </w:tcBorders>
            <w:vAlign w:val="center"/>
          </w:tcPr>
          <w:p w14:paraId="43E76194">
            <w:r>
              <w:rPr>
                <w:rFonts w:hint="eastAsia"/>
              </w:rPr>
              <w:t>《家用太阳能热水系统能效限定值及能效等级》（GB26969）</w:t>
            </w:r>
          </w:p>
        </w:tc>
      </w:tr>
      <w:tr w14:paraId="0C56371B">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76AADA3D">
            <w:r>
              <w:rPr>
                <w:rFonts w:hint="eastAsia"/>
              </w:rPr>
              <w:t>11</w:t>
            </w:r>
          </w:p>
        </w:tc>
        <w:tc>
          <w:tcPr>
            <w:tcW w:w="1080" w:type="dxa"/>
            <w:vMerge w:val="restart"/>
            <w:tcBorders>
              <w:top w:val="nil"/>
              <w:left w:val="single" w:color="000000" w:sz="8" w:space="0"/>
              <w:bottom w:val="single" w:color="000000" w:sz="8" w:space="0"/>
              <w:right w:val="single" w:color="000000" w:sz="8" w:space="0"/>
            </w:tcBorders>
            <w:vAlign w:val="center"/>
          </w:tcPr>
          <w:p w14:paraId="6F00870F">
            <w:r>
              <w:rPr>
                <w:rFonts w:hint="eastAsia"/>
              </w:rPr>
              <w:t>A020619照明设备</w:t>
            </w:r>
          </w:p>
        </w:tc>
        <w:tc>
          <w:tcPr>
            <w:tcW w:w="1320" w:type="dxa"/>
            <w:tcBorders>
              <w:top w:val="nil"/>
              <w:left w:val="nil"/>
              <w:bottom w:val="single" w:color="000000" w:sz="8" w:space="0"/>
              <w:right w:val="single" w:color="000000" w:sz="8" w:space="0"/>
            </w:tcBorders>
            <w:vAlign w:val="center"/>
          </w:tcPr>
          <w:p w14:paraId="353AFCA4">
            <w:r>
              <w:rPr>
                <w:rFonts w:hint="eastAsia"/>
              </w:rPr>
              <w:t>★普通照明用双端荧光灯</w:t>
            </w:r>
          </w:p>
        </w:tc>
        <w:tc>
          <w:tcPr>
            <w:tcW w:w="1620" w:type="dxa"/>
            <w:tcBorders>
              <w:top w:val="nil"/>
              <w:left w:val="nil"/>
              <w:bottom w:val="single" w:color="000000" w:sz="8" w:space="0"/>
              <w:right w:val="single" w:color="000000" w:sz="8" w:space="0"/>
            </w:tcBorders>
            <w:vAlign w:val="center"/>
          </w:tcPr>
          <w:p w14:paraId="1E9FEF2F">
            <w:r>
              <w:rPr>
                <w:rFonts w:hint="eastAsia"/>
              </w:rPr>
              <w:t>　</w:t>
            </w:r>
          </w:p>
        </w:tc>
        <w:tc>
          <w:tcPr>
            <w:tcW w:w="4540" w:type="dxa"/>
            <w:tcBorders>
              <w:top w:val="nil"/>
              <w:left w:val="nil"/>
              <w:bottom w:val="single" w:color="000000" w:sz="8" w:space="0"/>
              <w:right w:val="single" w:color="000000" w:sz="8" w:space="0"/>
            </w:tcBorders>
            <w:vAlign w:val="center"/>
          </w:tcPr>
          <w:p w14:paraId="5F0B350B">
            <w:r>
              <w:rPr>
                <w:rFonts w:hint="eastAsia"/>
              </w:rPr>
              <w:t>《普通照明用双端荧光灯能效限定值及能效等级》（GB19043）</w:t>
            </w:r>
          </w:p>
        </w:tc>
      </w:tr>
      <w:tr w14:paraId="2F218F2F">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1604870F"/>
        </w:tc>
        <w:tc>
          <w:tcPr>
            <w:tcW w:w="1080" w:type="dxa"/>
            <w:vMerge w:val="continue"/>
            <w:tcBorders>
              <w:top w:val="nil"/>
              <w:left w:val="single" w:color="000000" w:sz="8" w:space="0"/>
              <w:bottom w:val="single" w:color="000000" w:sz="8" w:space="0"/>
              <w:right w:val="single" w:color="000000" w:sz="8" w:space="0"/>
            </w:tcBorders>
            <w:vAlign w:val="center"/>
          </w:tcPr>
          <w:p w14:paraId="357F35F8"/>
        </w:tc>
        <w:tc>
          <w:tcPr>
            <w:tcW w:w="1320" w:type="dxa"/>
            <w:tcBorders>
              <w:top w:val="nil"/>
              <w:left w:val="nil"/>
              <w:bottom w:val="single" w:color="000000" w:sz="8" w:space="0"/>
              <w:right w:val="single" w:color="000000" w:sz="8" w:space="0"/>
            </w:tcBorders>
            <w:vAlign w:val="center"/>
          </w:tcPr>
          <w:p w14:paraId="4DAF6A15">
            <w:r>
              <w:rPr>
                <w:rFonts w:hint="eastAsia"/>
              </w:rPr>
              <w:t>LED道路/隧道照明产品</w:t>
            </w:r>
          </w:p>
        </w:tc>
        <w:tc>
          <w:tcPr>
            <w:tcW w:w="1620" w:type="dxa"/>
            <w:tcBorders>
              <w:top w:val="nil"/>
              <w:left w:val="nil"/>
              <w:bottom w:val="single" w:color="000000" w:sz="8" w:space="0"/>
              <w:right w:val="single" w:color="000000" w:sz="8" w:space="0"/>
            </w:tcBorders>
            <w:vAlign w:val="center"/>
          </w:tcPr>
          <w:p w14:paraId="250161E0">
            <w:r>
              <w:rPr>
                <w:rFonts w:hint="eastAsia"/>
              </w:rPr>
              <w:t>　</w:t>
            </w:r>
          </w:p>
        </w:tc>
        <w:tc>
          <w:tcPr>
            <w:tcW w:w="4540" w:type="dxa"/>
            <w:tcBorders>
              <w:top w:val="nil"/>
              <w:left w:val="nil"/>
              <w:bottom w:val="single" w:color="000000" w:sz="8" w:space="0"/>
              <w:right w:val="single" w:color="000000" w:sz="8" w:space="0"/>
            </w:tcBorders>
            <w:vAlign w:val="center"/>
          </w:tcPr>
          <w:p w14:paraId="2DD78171">
            <w:r>
              <w:rPr>
                <w:rFonts w:hint="eastAsia"/>
              </w:rPr>
              <w:t>《道路和隧道照明用LED灯具能效限定值及能效等级》（GB37478）</w:t>
            </w:r>
          </w:p>
        </w:tc>
      </w:tr>
      <w:tr w14:paraId="1F202E1F">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128A2812"/>
        </w:tc>
        <w:tc>
          <w:tcPr>
            <w:tcW w:w="1080" w:type="dxa"/>
            <w:vMerge w:val="continue"/>
            <w:tcBorders>
              <w:top w:val="nil"/>
              <w:left w:val="single" w:color="000000" w:sz="8" w:space="0"/>
              <w:bottom w:val="single" w:color="000000" w:sz="8" w:space="0"/>
              <w:right w:val="single" w:color="000000" w:sz="8" w:space="0"/>
            </w:tcBorders>
            <w:vAlign w:val="center"/>
          </w:tcPr>
          <w:p w14:paraId="6618A0EE"/>
        </w:tc>
        <w:tc>
          <w:tcPr>
            <w:tcW w:w="1320" w:type="dxa"/>
            <w:tcBorders>
              <w:top w:val="nil"/>
              <w:left w:val="nil"/>
              <w:bottom w:val="single" w:color="000000" w:sz="8" w:space="0"/>
              <w:right w:val="single" w:color="000000" w:sz="8" w:space="0"/>
            </w:tcBorders>
            <w:vAlign w:val="center"/>
          </w:tcPr>
          <w:p w14:paraId="6DB4C32A">
            <w:r>
              <w:rPr>
                <w:rFonts w:hint="eastAsia"/>
              </w:rPr>
              <w:t>LED筒灯</w:t>
            </w:r>
          </w:p>
        </w:tc>
        <w:tc>
          <w:tcPr>
            <w:tcW w:w="1620" w:type="dxa"/>
            <w:tcBorders>
              <w:top w:val="nil"/>
              <w:left w:val="nil"/>
              <w:bottom w:val="single" w:color="000000" w:sz="8" w:space="0"/>
              <w:right w:val="single" w:color="000000" w:sz="8" w:space="0"/>
            </w:tcBorders>
            <w:vAlign w:val="center"/>
          </w:tcPr>
          <w:p w14:paraId="70012610">
            <w:r>
              <w:rPr>
                <w:rFonts w:hint="eastAsia"/>
              </w:rPr>
              <w:t>　</w:t>
            </w:r>
          </w:p>
        </w:tc>
        <w:tc>
          <w:tcPr>
            <w:tcW w:w="4540" w:type="dxa"/>
            <w:tcBorders>
              <w:top w:val="nil"/>
              <w:left w:val="nil"/>
              <w:bottom w:val="single" w:color="000000" w:sz="8" w:space="0"/>
              <w:right w:val="single" w:color="000000" w:sz="8" w:space="0"/>
            </w:tcBorders>
            <w:vAlign w:val="center"/>
          </w:tcPr>
          <w:p w14:paraId="78BBAF0F">
            <w:r>
              <w:rPr>
                <w:rFonts w:hint="eastAsia"/>
              </w:rPr>
              <w:t>《室内照明用LED产品能效限定值及能效等级》（GB30255）</w:t>
            </w:r>
          </w:p>
        </w:tc>
      </w:tr>
      <w:tr w14:paraId="71B30EE4">
        <w:tblPrEx>
          <w:tblCellMar>
            <w:top w:w="0" w:type="dxa"/>
            <w:left w:w="108" w:type="dxa"/>
            <w:bottom w:w="0" w:type="dxa"/>
            <w:right w:w="108" w:type="dxa"/>
          </w:tblCellMar>
        </w:tblPrEx>
        <w:trPr>
          <w:trHeight w:val="73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3ED54B9D"/>
        </w:tc>
        <w:tc>
          <w:tcPr>
            <w:tcW w:w="1080" w:type="dxa"/>
            <w:vMerge w:val="continue"/>
            <w:tcBorders>
              <w:top w:val="nil"/>
              <w:left w:val="single" w:color="000000" w:sz="8" w:space="0"/>
              <w:bottom w:val="single" w:color="000000" w:sz="8" w:space="0"/>
              <w:right w:val="single" w:color="000000" w:sz="8" w:space="0"/>
            </w:tcBorders>
            <w:vAlign w:val="center"/>
          </w:tcPr>
          <w:p w14:paraId="095929A0"/>
        </w:tc>
        <w:tc>
          <w:tcPr>
            <w:tcW w:w="1320" w:type="dxa"/>
            <w:tcBorders>
              <w:top w:val="nil"/>
              <w:left w:val="nil"/>
              <w:bottom w:val="single" w:color="000000" w:sz="8" w:space="0"/>
              <w:right w:val="single" w:color="000000" w:sz="8" w:space="0"/>
            </w:tcBorders>
            <w:vAlign w:val="center"/>
          </w:tcPr>
          <w:p w14:paraId="4CD8E23D">
            <w:r>
              <w:rPr>
                <w:rFonts w:hint="eastAsia"/>
              </w:rPr>
              <w:t>普通照明用非定向自镇流LED灯</w:t>
            </w:r>
          </w:p>
        </w:tc>
        <w:tc>
          <w:tcPr>
            <w:tcW w:w="1620" w:type="dxa"/>
            <w:tcBorders>
              <w:top w:val="nil"/>
              <w:left w:val="nil"/>
              <w:bottom w:val="single" w:color="000000" w:sz="8" w:space="0"/>
              <w:right w:val="single" w:color="000000" w:sz="8" w:space="0"/>
            </w:tcBorders>
            <w:vAlign w:val="center"/>
          </w:tcPr>
          <w:p w14:paraId="5B668181">
            <w:r>
              <w:rPr>
                <w:rFonts w:hint="eastAsia"/>
              </w:rPr>
              <w:t>　</w:t>
            </w:r>
          </w:p>
        </w:tc>
        <w:tc>
          <w:tcPr>
            <w:tcW w:w="4540" w:type="dxa"/>
            <w:tcBorders>
              <w:top w:val="nil"/>
              <w:left w:val="nil"/>
              <w:bottom w:val="single" w:color="000000" w:sz="8" w:space="0"/>
              <w:right w:val="single" w:color="000000" w:sz="8" w:space="0"/>
            </w:tcBorders>
            <w:vAlign w:val="center"/>
          </w:tcPr>
          <w:p w14:paraId="46DF9D91">
            <w:r>
              <w:rPr>
                <w:rFonts w:hint="eastAsia"/>
              </w:rPr>
              <w:t>《室内照明用LED产品能效限定值及能效等级》（GB30255）</w:t>
            </w:r>
          </w:p>
        </w:tc>
      </w:tr>
      <w:tr w14:paraId="5B2701B6">
        <w:tblPrEx>
          <w:tblCellMar>
            <w:top w:w="0" w:type="dxa"/>
            <w:left w:w="108" w:type="dxa"/>
            <w:bottom w:w="0" w:type="dxa"/>
            <w:right w:w="108" w:type="dxa"/>
          </w:tblCellMar>
        </w:tblPrEx>
        <w:trPr>
          <w:trHeight w:val="735" w:hRule="atLeast"/>
          <w:jc w:val="center"/>
        </w:trPr>
        <w:tc>
          <w:tcPr>
            <w:tcW w:w="660" w:type="dxa"/>
            <w:tcBorders>
              <w:top w:val="nil"/>
              <w:left w:val="single" w:color="000000" w:sz="8" w:space="0"/>
              <w:bottom w:val="single" w:color="000000" w:sz="8" w:space="0"/>
              <w:right w:val="single" w:color="000000" w:sz="8" w:space="0"/>
            </w:tcBorders>
            <w:vAlign w:val="center"/>
          </w:tcPr>
          <w:p w14:paraId="4A54B051">
            <w:r>
              <w:rPr>
                <w:rFonts w:hint="eastAsia"/>
              </w:rPr>
              <w:t>12</w:t>
            </w:r>
          </w:p>
        </w:tc>
        <w:tc>
          <w:tcPr>
            <w:tcW w:w="1080" w:type="dxa"/>
            <w:tcBorders>
              <w:top w:val="nil"/>
              <w:left w:val="nil"/>
              <w:bottom w:val="single" w:color="000000" w:sz="8" w:space="0"/>
              <w:right w:val="single" w:color="000000" w:sz="8" w:space="0"/>
            </w:tcBorders>
            <w:vAlign w:val="center"/>
          </w:tcPr>
          <w:p w14:paraId="63DF4B86">
            <w:r>
              <w:rPr>
                <w:rFonts w:hint="eastAsia"/>
              </w:rPr>
              <w:t>★A020910电视设备</w:t>
            </w:r>
          </w:p>
        </w:tc>
        <w:tc>
          <w:tcPr>
            <w:tcW w:w="1320" w:type="dxa"/>
            <w:tcBorders>
              <w:top w:val="nil"/>
              <w:left w:val="nil"/>
              <w:bottom w:val="single" w:color="000000" w:sz="8" w:space="0"/>
              <w:right w:val="single" w:color="000000" w:sz="8" w:space="0"/>
            </w:tcBorders>
            <w:vAlign w:val="center"/>
          </w:tcPr>
          <w:p w14:paraId="777B6E2D">
            <w:r>
              <w:rPr>
                <w:rFonts w:hint="eastAsia"/>
              </w:rPr>
              <w:t>A02091001普通电视设备（电视机）</w:t>
            </w:r>
          </w:p>
        </w:tc>
        <w:tc>
          <w:tcPr>
            <w:tcW w:w="1620" w:type="dxa"/>
            <w:tcBorders>
              <w:top w:val="nil"/>
              <w:left w:val="nil"/>
              <w:bottom w:val="single" w:color="000000" w:sz="8" w:space="0"/>
              <w:right w:val="single" w:color="000000" w:sz="8" w:space="0"/>
            </w:tcBorders>
            <w:vAlign w:val="center"/>
          </w:tcPr>
          <w:p w14:paraId="19A59343">
            <w:r>
              <w:rPr>
                <w:rFonts w:hint="eastAsia"/>
              </w:rPr>
              <w:t>　</w:t>
            </w:r>
          </w:p>
        </w:tc>
        <w:tc>
          <w:tcPr>
            <w:tcW w:w="4540" w:type="dxa"/>
            <w:tcBorders>
              <w:top w:val="nil"/>
              <w:left w:val="nil"/>
              <w:bottom w:val="single" w:color="000000" w:sz="8" w:space="0"/>
              <w:right w:val="single" w:color="000000" w:sz="8" w:space="0"/>
            </w:tcBorders>
            <w:vAlign w:val="center"/>
          </w:tcPr>
          <w:p w14:paraId="1544F800">
            <w:r>
              <w:rPr>
                <w:rFonts w:hint="eastAsia"/>
              </w:rPr>
              <w:t>《平板电视能效限定值及能效等级》（GB24850）</w:t>
            </w:r>
          </w:p>
        </w:tc>
      </w:tr>
      <w:tr w14:paraId="4B0994DB">
        <w:tblPrEx>
          <w:tblCellMar>
            <w:top w:w="0" w:type="dxa"/>
            <w:left w:w="108" w:type="dxa"/>
            <w:bottom w:w="0" w:type="dxa"/>
            <w:right w:w="108" w:type="dxa"/>
          </w:tblCellMar>
        </w:tblPrEx>
        <w:trPr>
          <w:trHeight w:val="975" w:hRule="atLeast"/>
          <w:jc w:val="center"/>
        </w:trPr>
        <w:tc>
          <w:tcPr>
            <w:tcW w:w="660" w:type="dxa"/>
            <w:tcBorders>
              <w:top w:val="nil"/>
              <w:left w:val="single" w:color="000000" w:sz="8" w:space="0"/>
              <w:bottom w:val="single" w:color="000000" w:sz="8" w:space="0"/>
              <w:right w:val="single" w:color="000000" w:sz="8" w:space="0"/>
            </w:tcBorders>
            <w:vAlign w:val="center"/>
          </w:tcPr>
          <w:p w14:paraId="06D15E41">
            <w:r>
              <w:rPr>
                <w:rFonts w:hint="eastAsia"/>
              </w:rPr>
              <w:t>13</w:t>
            </w:r>
          </w:p>
        </w:tc>
        <w:tc>
          <w:tcPr>
            <w:tcW w:w="1080" w:type="dxa"/>
            <w:tcBorders>
              <w:top w:val="nil"/>
              <w:left w:val="nil"/>
              <w:bottom w:val="single" w:color="000000" w:sz="8" w:space="0"/>
              <w:right w:val="single" w:color="000000" w:sz="8" w:space="0"/>
            </w:tcBorders>
            <w:vAlign w:val="center"/>
          </w:tcPr>
          <w:p w14:paraId="170E606C">
            <w:r>
              <w:rPr>
                <w:rFonts w:hint="eastAsia"/>
              </w:rPr>
              <w:t>★A020911视频设备</w:t>
            </w:r>
          </w:p>
        </w:tc>
        <w:tc>
          <w:tcPr>
            <w:tcW w:w="1320" w:type="dxa"/>
            <w:tcBorders>
              <w:top w:val="nil"/>
              <w:left w:val="nil"/>
              <w:bottom w:val="single" w:color="000000" w:sz="8" w:space="0"/>
              <w:right w:val="single" w:color="000000" w:sz="8" w:space="0"/>
            </w:tcBorders>
            <w:vAlign w:val="center"/>
          </w:tcPr>
          <w:p w14:paraId="5647D4AA">
            <w:r>
              <w:rPr>
                <w:rFonts w:hint="eastAsia"/>
              </w:rPr>
              <w:t>A02091107视频监控设备</w:t>
            </w:r>
          </w:p>
        </w:tc>
        <w:tc>
          <w:tcPr>
            <w:tcW w:w="1620" w:type="dxa"/>
            <w:tcBorders>
              <w:top w:val="nil"/>
              <w:left w:val="nil"/>
              <w:bottom w:val="single" w:color="000000" w:sz="8" w:space="0"/>
              <w:right w:val="single" w:color="000000" w:sz="8" w:space="0"/>
            </w:tcBorders>
            <w:vAlign w:val="center"/>
          </w:tcPr>
          <w:p w14:paraId="0A3E7172">
            <w:r>
              <w:rPr>
                <w:rFonts w:hint="eastAsia"/>
              </w:rPr>
              <w:t>监视器</w:t>
            </w:r>
          </w:p>
        </w:tc>
        <w:tc>
          <w:tcPr>
            <w:tcW w:w="4540" w:type="dxa"/>
            <w:tcBorders>
              <w:top w:val="nil"/>
              <w:left w:val="nil"/>
              <w:bottom w:val="single" w:color="000000" w:sz="8" w:space="0"/>
              <w:right w:val="single" w:color="000000" w:sz="8" w:space="0"/>
            </w:tcBorders>
            <w:vAlign w:val="center"/>
          </w:tcPr>
          <w:p w14:paraId="075645EE">
            <w:r>
              <w:rPr>
                <w:rFonts w:hint="eastAsia"/>
              </w:rPr>
              <w:t>以射频信号为主要信号输入的监视器应符合《平板电视能效限定值及能效等级》（GB24850），以数字信号为主要信号输入的监视器应符合《计算机显示器能效限定值及能效等级》（GB21520）</w:t>
            </w:r>
          </w:p>
        </w:tc>
      </w:tr>
      <w:tr w14:paraId="11304B6D">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5BE95AE0">
            <w:r>
              <w:rPr>
                <w:rFonts w:hint="eastAsia"/>
              </w:rPr>
              <w:t>14</w:t>
            </w:r>
          </w:p>
        </w:tc>
        <w:tc>
          <w:tcPr>
            <w:tcW w:w="1080" w:type="dxa"/>
            <w:tcBorders>
              <w:top w:val="nil"/>
              <w:left w:val="nil"/>
              <w:bottom w:val="single" w:color="000000" w:sz="8" w:space="0"/>
              <w:right w:val="single" w:color="000000" w:sz="8" w:space="0"/>
            </w:tcBorders>
            <w:vAlign w:val="center"/>
          </w:tcPr>
          <w:p w14:paraId="1E5C90CD">
            <w:r>
              <w:rPr>
                <w:rFonts w:hint="eastAsia"/>
              </w:rPr>
              <w:t>A031210饮食炊事机械</w:t>
            </w:r>
          </w:p>
        </w:tc>
        <w:tc>
          <w:tcPr>
            <w:tcW w:w="1320" w:type="dxa"/>
            <w:tcBorders>
              <w:top w:val="nil"/>
              <w:left w:val="nil"/>
              <w:bottom w:val="single" w:color="000000" w:sz="8" w:space="0"/>
              <w:right w:val="single" w:color="000000" w:sz="8" w:space="0"/>
            </w:tcBorders>
            <w:vAlign w:val="center"/>
          </w:tcPr>
          <w:p w14:paraId="5298B77E">
            <w:r>
              <w:rPr>
                <w:rFonts w:hint="eastAsia"/>
              </w:rPr>
              <w:t>商用燃气灶具</w:t>
            </w:r>
          </w:p>
        </w:tc>
        <w:tc>
          <w:tcPr>
            <w:tcW w:w="1620" w:type="dxa"/>
            <w:tcBorders>
              <w:top w:val="nil"/>
              <w:left w:val="nil"/>
              <w:bottom w:val="single" w:color="000000" w:sz="8" w:space="0"/>
              <w:right w:val="single" w:color="000000" w:sz="8" w:space="0"/>
            </w:tcBorders>
            <w:vAlign w:val="center"/>
          </w:tcPr>
          <w:p w14:paraId="02F52BF8">
            <w:r>
              <w:rPr>
                <w:rFonts w:hint="eastAsia"/>
              </w:rPr>
              <w:t>　</w:t>
            </w:r>
          </w:p>
        </w:tc>
        <w:tc>
          <w:tcPr>
            <w:tcW w:w="4540" w:type="dxa"/>
            <w:tcBorders>
              <w:top w:val="nil"/>
              <w:left w:val="nil"/>
              <w:bottom w:val="single" w:color="000000" w:sz="8" w:space="0"/>
              <w:right w:val="single" w:color="000000" w:sz="8" w:space="0"/>
            </w:tcBorders>
            <w:vAlign w:val="center"/>
          </w:tcPr>
          <w:p w14:paraId="57BADA79">
            <w:r>
              <w:rPr>
                <w:rFonts w:hint="eastAsia"/>
              </w:rPr>
              <w:t>《商用燃气灶具能效限定值及能效等级》（GB30531）</w:t>
            </w:r>
          </w:p>
        </w:tc>
      </w:tr>
      <w:tr w14:paraId="718A6652">
        <w:tblPrEx>
          <w:tblCellMar>
            <w:top w:w="0" w:type="dxa"/>
            <w:left w:w="108" w:type="dxa"/>
            <w:bottom w:w="0" w:type="dxa"/>
            <w:right w:w="108" w:type="dxa"/>
          </w:tblCellMar>
        </w:tblPrEx>
        <w:trPr>
          <w:trHeight w:val="28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12F4C390">
            <w:r>
              <w:rPr>
                <w:rFonts w:hint="eastAsia"/>
              </w:rPr>
              <w:t>15</w:t>
            </w:r>
          </w:p>
        </w:tc>
        <w:tc>
          <w:tcPr>
            <w:tcW w:w="1080" w:type="dxa"/>
            <w:vMerge w:val="restart"/>
            <w:tcBorders>
              <w:top w:val="nil"/>
              <w:left w:val="single" w:color="000000" w:sz="8" w:space="0"/>
              <w:bottom w:val="single" w:color="000000" w:sz="8" w:space="0"/>
              <w:right w:val="single" w:color="000000" w:sz="8" w:space="0"/>
            </w:tcBorders>
            <w:vAlign w:val="center"/>
          </w:tcPr>
          <w:p w14:paraId="66074902">
            <w:r>
              <w:rPr>
                <w:rFonts w:hint="eastAsia"/>
              </w:rPr>
              <w:t>★A060805便器</w:t>
            </w:r>
          </w:p>
        </w:tc>
        <w:tc>
          <w:tcPr>
            <w:tcW w:w="1320" w:type="dxa"/>
            <w:tcBorders>
              <w:top w:val="nil"/>
              <w:left w:val="nil"/>
              <w:bottom w:val="single" w:color="000000" w:sz="8" w:space="0"/>
              <w:right w:val="single" w:color="000000" w:sz="8" w:space="0"/>
            </w:tcBorders>
            <w:vAlign w:val="center"/>
          </w:tcPr>
          <w:p w14:paraId="13B00D8A">
            <w:r>
              <w:rPr>
                <w:rFonts w:hint="eastAsia"/>
              </w:rPr>
              <w:t>坐便器</w:t>
            </w:r>
          </w:p>
        </w:tc>
        <w:tc>
          <w:tcPr>
            <w:tcW w:w="1620" w:type="dxa"/>
            <w:tcBorders>
              <w:top w:val="nil"/>
              <w:left w:val="nil"/>
              <w:bottom w:val="single" w:color="000000" w:sz="8" w:space="0"/>
              <w:right w:val="single" w:color="000000" w:sz="8" w:space="0"/>
            </w:tcBorders>
            <w:vAlign w:val="center"/>
          </w:tcPr>
          <w:p w14:paraId="2048EFC5">
            <w:r>
              <w:rPr>
                <w:rFonts w:hint="eastAsia"/>
              </w:rPr>
              <w:t>　</w:t>
            </w:r>
          </w:p>
        </w:tc>
        <w:tc>
          <w:tcPr>
            <w:tcW w:w="4540" w:type="dxa"/>
            <w:tcBorders>
              <w:top w:val="nil"/>
              <w:left w:val="nil"/>
              <w:bottom w:val="single" w:color="000000" w:sz="8" w:space="0"/>
              <w:right w:val="single" w:color="000000" w:sz="8" w:space="0"/>
            </w:tcBorders>
            <w:vAlign w:val="center"/>
          </w:tcPr>
          <w:p w14:paraId="74C33308">
            <w:r>
              <w:rPr>
                <w:rFonts w:hint="eastAsia"/>
              </w:rPr>
              <w:t>《坐便器水效限定值及水效等级》（GB25502）</w:t>
            </w:r>
          </w:p>
        </w:tc>
      </w:tr>
      <w:tr w14:paraId="799364E0">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0F780850"/>
        </w:tc>
        <w:tc>
          <w:tcPr>
            <w:tcW w:w="1080" w:type="dxa"/>
            <w:vMerge w:val="continue"/>
            <w:tcBorders>
              <w:top w:val="nil"/>
              <w:left w:val="single" w:color="000000" w:sz="8" w:space="0"/>
              <w:bottom w:val="single" w:color="000000" w:sz="8" w:space="0"/>
              <w:right w:val="single" w:color="000000" w:sz="8" w:space="0"/>
            </w:tcBorders>
            <w:vAlign w:val="center"/>
          </w:tcPr>
          <w:p w14:paraId="11B0B2C8"/>
        </w:tc>
        <w:tc>
          <w:tcPr>
            <w:tcW w:w="1320" w:type="dxa"/>
            <w:tcBorders>
              <w:top w:val="nil"/>
              <w:left w:val="nil"/>
              <w:bottom w:val="single" w:color="000000" w:sz="8" w:space="0"/>
              <w:right w:val="single" w:color="000000" w:sz="8" w:space="0"/>
            </w:tcBorders>
            <w:vAlign w:val="center"/>
          </w:tcPr>
          <w:p w14:paraId="76BA0CD8">
            <w:r>
              <w:rPr>
                <w:rFonts w:hint="eastAsia"/>
              </w:rPr>
              <w:t>蹲便器</w:t>
            </w:r>
          </w:p>
        </w:tc>
        <w:tc>
          <w:tcPr>
            <w:tcW w:w="1620" w:type="dxa"/>
            <w:tcBorders>
              <w:top w:val="nil"/>
              <w:left w:val="nil"/>
              <w:bottom w:val="single" w:color="000000" w:sz="8" w:space="0"/>
              <w:right w:val="single" w:color="000000" w:sz="8" w:space="0"/>
            </w:tcBorders>
            <w:vAlign w:val="center"/>
          </w:tcPr>
          <w:p w14:paraId="3BC872FB">
            <w:r>
              <w:rPr>
                <w:rFonts w:hint="eastAsia"/>
              </w:rPr>
              <w:t>　</w:t>
            </w:r>
          </w:p>
        </w:tc>
        <w:tc>
          <w:tcPr>
            <w:tcW w:w="4540" w:type="dxa"/>
            <w:tcBorders>
              <w:top w:val="nil"/>
              <w:left w:val="nil"/>
              <w:bottom w:val="single" w:color="000000" w:sz="8" w:space="0"/>
              <w:right w:val="single" w:color="000000" w:sz="8" w:space="0"/>
            </w:tcBorders>
            <w:vAlign w:val="center"/>
          </w:tcPr>
          <w:p w14:paraId="289674B9">
            <w:r>
              <w:rPr>
                <w:rFonts w:hint="eastAsia"/>
              </w:rPr>
              <w:t>《蹲便器用水效率限定值及用水效率等级》（GB30717）</w:t>
            </w:r>
          </w:p>
        </w:tc>
      </w:tr>
      <w:tr w14:paraId="52E9D5F3">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4154195E"/>
        </w:tc>
        <w:tc>
          <w:tcPr>
            <w:tcW w:w="1080" w:type="dxa"/>
            <w:vMerge w:val="continue"/>
            <w:tcBorders>
              <w:top w:val="nil"/>
              <w:left w:val="single" w:color="000000" w:sz="8" w:space="0"/>
              <w:bottom w:val="single" w:color="000000" w:sz="8" w:space="0"/>
              <w:right w:val="single" w:color="000000" w:sz="8" w:space="0"/>
            </w:tcBorders>
            <w:vAlign w:val="center"/>
          </w:tcPr>
          <w:p w14:paraId="6A1CE53A"/>
        </w:tc>
        <w:tc>
          <w:tcPr>
            <w:tcW w:w="1320" w:type="dxa"/>
            <w:tcBorders>
              <w:top w:val="nil"/>
              <w:left w:val="nil"/>
              <w:bottom w:val="single" w:color="000000" w:sz="8" w:space="0"/>
              <w:right w:val="single" w:color="000000" w:sz="8" w:space="0"/>
            </w:tcBorders>
            <w:vAlign w:val="center"/>
          </w:tcPr>
          <w:p w14:paraId="385D03D7">
            <w:r>
              <w:rPr>
                <w:rFonts w:hint="eastAsia"/>
              </w:rPr>
              <w:t>小便器</w:t>
            </w:r>
          </w:p>
        </w:tc>
        <w:tc>
          <w:tcPr>
            <w:tcW w:w="1620" w:type="dxa"/>
            <w:tcBorders>
              <w:top w:val="nil"/>
              <w:left w:val="nil"/>
              <w:bottom w:val="single" w:color="000000" w:sz="8" w:space="0"/>
              <w:right w:val="single" w:color="000000" w:sz="8" w:space="0"/>
            </w:tcBorders>
            <w:vAlign w:val="center"/>
          </w:tcPr>
          <w:p w14:paraId="3295AA27">
            <w:r>
              <w:rPr>
                <w:rFonts w:hint="eastAsia"/>
              </w:rPr>
              <w:t>　</w:t>
            </w:r>
          </w:p>
        </w:tc>
        <w:tc>
          <w:tcPr>
            <w:tcW w:w="4540" w:type="dxa"/>
            <w:tcBorders>
              <w:top w:val="nil"/>
              <w:left w:val="nil"/>
              <w:bottom w:val="single" w:color="000000" w:sz="8" w:space="0"/>
              <w:right w:val="single" w:color="000000" w:sz="8" w:space="0"/>
            </w:tcBorders>
            <w:vAlign w:val="center"/>
          </w:tcPr>
          <w:p w14:paraId="62271595">
            <w:r>
              <w:rPr>
                <w:rFonts w:hint="eastAsia"/>
              </w:rPr>
              <w:t>《小便器用水效率限定值及用水效率等级》（GB28377）</w:t>
            </w:r>
          </w:p>
        </w:tc>
      </w:tr>
      <w:tr w14:paraId="17B663BD">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423FE596">
            <w:r>
              <w:rPr>
                <w:rFonts w:hint="eastAsia"/>
              </w:rPr>
              <w:t>16</w:t>
            </w:r>
          </w:p>
        </w:tc>
        <w:tc>
          <w:tcPr>
            <w:tcW w:w="1080" w:type="dxa"/>
            <w:tcBorders>
              <w:top w:val="nil"/>
              <w:left w:val="nil"/>
              <w:bottom w:val="single" w:color="000000" w:sz="8" w:space="0"/>
              <w:right w:val="single" w:color="000000" w:sz="8" w:space="0"/>
            </w:tcBorders>
            <w:vAlign w:val="center"/>
          </w:tcPr>
          <w:p w14:paraId="32F050A4">
            <w:r>
              <w:rPr>
                <w:rFonts w:hint="eastAsia"/>
              </w:rPr>
              <w:t>★A060806水嘴</w:t>
            </w:r>
          </w:p>
        </w:tc>
        <w:tc>
          <w:tcPr>
            <w:tcW w:w="1320" w:type="dxa"/>
            <w:tcBorders>
              <w:top w:val="nil"/>
              <w:left w:val="nil"/>
              <w:bottom w:val="single" w:color="000000" w:sz="8" w:space="0"/>
              <w:right w:val="single" w:color="000000" w:sz="8" w:space="0"/>
            </w:tcBorders>
            <w:vAlign w:val="center"/>
          </w:tcPr>
          <w:p w14:paraId="51DE6E00">
            <w:r>
              <w:rPr>
                <w:rFonts w:hint="eastAsia"/>
              </w:rPr>
              <w:t>　</w:t>
            </w:r>
          </w:p>
        </w:tc>
        <w:tc>
          <w:tcPr>
            <w:tcW w:w="1620" w:type="dxa"/>
            <w:tcBorders>
              <w:top w:val="nil"/>
              <w:left w:val="nil"/>
              <w:bottom w:val="single" w:color="000000" w:sz="8" w:space="0"/>
              <w:right w:val="single" w:color="000000" w:sz="8" w:space="0"/>
            </w:tcBorders>
            <w:vAlign w:val="center"/>
          </w:tcPr>
          <w:p w14:paraId="7F0C6444">
            <w:r>
              <w:rPr>
                <w:rFonts w:hint="eastAsia"/>
              </w:rPr>
              <w:t>　</w:t>
            </w:r>
          </w:p>
        </w:tc>
        <w:tc>
          <w:tcPr>
            <w:tcW w:w="4540" w:type="dxa"/>
            <w:tcBorders>
              <w:top w:val="nil"/>
              <w:left w:val="nil"/>
              <w:bottom w:val="single" w:color="000000" w:sz="8" w:space="0"/>
              <w:right w:val="single" w:color="000000" w:sz="8" w:space="0"/>
            </w:tcBorders>
            <w:vAlign w:val="center"/>
          </w:tcPr>
          <w:p w14:paraId="311AA41A">
            <w:r>
              <w:rPr>
                <w:rFonts w:hint="eastAsia"/>
              </w:rPr>
              <w:t>《水嘴用水效率限定值及用水效率等级》（GB 25501）</w:t>
            </w:r>
          </w:p>
        </w:tc>
      </w:tr>
      <w:tr w14:paraId="51E687F8">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2157DB32">
            <w:r>
              <w:rPr>
                <w:rFonts w:hint="eastAsia"/>
              </w:rPr>
              <w:t>17</w:t>
            </w:r>
          </w:p>
        </w:tc>
        <w:tc>
          <w:tcPr>
            <w:tcW w:w="1080" w:type="dxa"/>
            <w:tcBorders>
              <w:top w:val="nil"/>
              <w:left w:val="nil"/>
              <w:bottom w:val="single" w:color="000000" w:sz="8" w:space="0"/>
              <w:right w:val="single" w:color="000000" w:sz="8" w:space="0"/>
            </w:tcBorders>
            <w:vAlign w:val="center"/>
          </w:tcPr>
          <w:p w14:paraId="3E2825C9">
            <w:r>
              <w:rPr>
                <w:rFonts w:hint="eastAsia"/>
              </w:rPr>
              <w:t>A060807便器冲洗阀</w:t>
            </w:r>
          </w:p>
        </w:tc>
        <w:tc>
          <w:tcPr>
            <w:tcW w:w="1320" w:type="dxa"/>
            <w:tcBorders>
              <w:top w:val="nil"/>
              <w:left w:val="nil"/>
              <w:bottom w:val="single" w:color="000000" w:sz="8" w:space="0"/>
              <w:right w:val="single" w:color="000000" w:sz="8" w:space="0"/>
            </w:tcBorders>
            <w:vAlign w:val="center"/>
          </w:tcPr>
          <w:p w14:paraId="445D8B40">
            <w:r>
              <w:rPr>
                <w:rFonts w:hint="eastAsia"/>
              </w:rPr>
              <w:t>　</w:t>
            </w:r>
          </w:p>
        </w:tc>
        <w:tc>
          <w:tcPr>
            <w:tcW w:w="1620" w:type="dxa"/>
            <w:tcBorders>
              <w:top w:val="nil"/>
              <w:left w:val="nil"/>
              <w:bottom w:val="single" w:color="000000" w:sz="8" w:space="0"/>
              <w:right w:val="single" w:color="000000" w:sz="8" w:space="0"/>
            </w:tcBorders>
            <w:vAlign w:val="center"/>
          </w:tcPr>
          <w:p w14:paraId="348056F1">
            <w:r>
              <w:rPr>
                <w:rFonts w:hint="eastAsia"/>
              </w:rPr>
              <w:t>　</w:t>
            </w:r>
          </w:p>
        </w:tc>
        <w:tc>
          <w:tcPr>
            <w:tcW w:w="4540" w:type="dxa"/>
            <w:tcBorders>
              <w:top w:val="nil"/>
              <w:left w:val="nil"/>
              <w:bottom w:val="single" w:color="000000" w:sz="8" w:space="0"/>
              <w:right w:val="single" w:color="000000" w:sz="8" w:space="0"/>
            </w:tcBorders>
            <w:vAlign w:val="center"/>
          </w:tcPr>
          <w:p w14:paraId="5D1C439E">
            <w:r>
              <w:rPr>
                <w:rFonts w:hint="eastAsia"/>
              </w:rPr>
              <w:t>《便器冲洗阀用水效率限定值及用水效率等级》（GB28379）</w:t>
            </w:r>
          </w:p>
        </w:tc>
      </w:tr>
      <w:tr w14:paraId="3B62477A">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7833D149">
            <w:r>
              <w:rPr>
                <w:rFonts w:hint="eastAsia"/>
              </w:rPr>
              <w:t>18</w:t>
            </w:r>
          </w:p>
        </w:tc>
        <w:tc>
          <w:tcPr>
            <w:tcW w:w="1080" w:type="dxa"/>
            <w:tcBorders>
              <w:top w:val="nil"/>
              <w:left w:val="nil"/>
              <w:bottom w:val="single" w:color="000000" w:sz="8" w:space="0"/>
              <w:right w:val="single" w:color="000000" w:sz="8" w:space="0"/>
            </w:tcBorders>
            <w:vAlign w:val="center"/>
          </w:tcPr>
          <w:p w14:paraId="1F34E898">
            <w:r>
              <w:rPr>
                <w:rFonts w:hint="eastAsia"/>
              </w:rPr>
              <w:t>A060810淋浴器</w:t>
            </w:r>
          </w:p>
        </w:tc>
        <w:tc>
          <w:tcPr>
            <w:tcW w:w="1320" w:type="dxa"/>
            <w:tcBorders>
              <w:top w:val="nil"/>
              <w:left w:val="nil"/>
              <w:bottom w:val="single" w:color="000000" w:sz="8" w:space="0"/>
              <w:right w:val="single" w:color="000000" w:sz="8" w:space="0"/>
            </w:tcBorders>
            <w:vAlign w:val="center"/>
          </w:tcPr>
          <w:p w14:paraId="42D7C94F">
            <w:r>
              <w:rPr>
                <w:rFonts w:hint="eastAsia"/>
              </w:rPr>
              <w:t>　</w:t>
            </w:r>
          </w:p>
        </w:tc>
        <w:tc>
          <w:tcPr>
            <w:tcW w:w="1620" w:type="dxa"/>
            <w:tcBorders>
              <w:top w:val="nil"/>
              <w:left w:val="nil"/>
              <w:bottom w:val="single" w:color="000000" w:sz="8" w:space="0"/>
              <w:right w:val="single" w:color="000000" w:sz="8" w:space="0"/>
            </w:tcBorders>
            <w:vAlign w:val="center"/>
          </w:tcPr>
          <w:p w14:paraId="37706164">
            <w:r>
              <w:rPr>
                <w:rFonts w:hint="eastAsia"/>
              </w:rPr>
              <w:t>　</w:t>
            </w:r>
          </w:p>
        </w:tc>
        <w:tc>
          <w:tcPr>
            <w:tcW w:w="4540" w:type="dxa"/>
            <w:tcBorders>
              <w:top w:val="nil"/>
              <w:left w:val="nil"/>
              <w:bottom w:val="single" w:color="000000" w:sz="8" w:space="0"/>
              <w:right w:val="single" w:color="000000" w:sz="8" w:space="0"/>
            </w:tcBorders>
            <w:vAlign w:val="center"/>
          </w:tcPr>
          <w:p w14:paraId="3746343E">
            <w:r>
              <w:rPr>
                <w:rFonts w:hint="eastAsia"/>
              </w:rPr>
              <w:t>《淋浴器用水效率限定值及用水效率等级》（GB28378）</w:t>
            </w:r>
          </w:p>
        </w:tc>
      </w:tr>
    </w:tbl>
    <w:p w14:paraId="046C7734">
      <w:pPr>
        <w:rPr>
          <w:lang w:val="zh-CN"/>
        </w:rPr>
      </w:pPr>
    </w:p>
    <w:p w14:paraId="1ED1F665">
      <w:pPr>
        <w:rPr>
          <w:lang w:val="zh-CN"/>
        </w:rPr>
      </w:pPr>
      <w:r>
        <w:rPr>
          <w:rFonts w:hint="eastAsia"/>
          <w:lang w:val="zh-CN"/>
        </w:rPr>
        <w:t>注：1.节能产品认证应依据相关国家标准的最新版本，依据国家标准中二级能效（水效）指标。</w:t>
      </w:r>
    </w:p>
    <w:p w14:paraId="13D288CD">
      <w:pPr>
        <w:rPr>
          <w:sz w:val="32"/>
          <w:szCs w:val="32"/>
          <w:lang w:val="zh-CN"/>
        </w:rPr>
      </w:pPr>
      <w:r>
        <w:rPr>
          <w:rFonts w:hint="eastAsia"/>
          <w:lang w:val="zh-CN"/>
        </w:rPr>
        <w:t xml:space="preserve">    2.以“★”标注的为政府强制采购产品。</w:t>
      </w:r>
      <w:r>
        <w:rPr>
          <w:rFonts w:hint="eastAsia"/>
          <w:lang w:val="zh-CN"/>
        </w:rPr>
        <w:br w:type="page"/>
      </w:r>
      <w:r>
        <w:rPr>
          <w:rFonts w:hint="eastAsia"/>
          <w:sz w:val="32"/>
          <w:szCs w:val="32"/>
          <w:lang w:val="zh-CN"/>
        </w:rPr>
        <w:t>附件</w:t>
      </w:r>
      <w:r>
        <w:rPr>
          <w:rFonts w:hint="eastAsia"/>
          <w:sz w:val="32"/>
          <w:szCs w:val="32"/>
        </w:rPr>
        <w:t>二</w:t>
      </w:r>
      <w:r>
        <w:rPr>
          <w:rFonts w:hint="eastAsia"/>
          <w:sz w:val="32"/>
          <w:szCs w:val="32"/>
          <w:lang w:val="zh-CN"/>
        </w:rPr>
        <w:t>：</w:t>
      </w:r>
    </w:p>
    <w:p w14:paraId="4341163B">
      <w:pPr>
        <w:jc w:val="center"/>
        <w:rPr>
          <w:sz w:val="36"/>
          <w:szCs w:val="36"/>
        </w:rPr>
      </w:pPr>
      <w:bookmarkStart w:id="84" w:name="_Toc28361_WPSOffice_Level2"/>
      <w:r>
        <w:rPr>
          <w:rFonts w:hint="eastAsia"/>
          <w:sz w:val="36"/>
          <w:szCs w:val="36"/>
        </w:rPr>
        <w:t>统计上大中小微型企业划分标准</w:t>
      </w:r>
      <w:bookmarkEnd w:id="84"/>
    </w:p>
    <w:tbl>
      <w:tblPr>
        <w:tblStyle w:val="3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FCE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vAlign w:val="center"/>
          </w:tcPr>
          <w:p w14:paraId="2059EBAF">
            <w:r>
              <w:rPr>
                <w:rFonts w:hint="eastAsia"/>
              </w:rPr>
              <w:t>行业名称</w:t>
            </w:r>
          </w:p>
        </w:tc>
        <w:tc>
          <w:tcPr>
            <w:tcW w:w="1369" w:type="dxa"/>
            <w:vAlign w:val="center"/>
          </w:tcPr>
          <w:p w14:paraId="7D64FB36">
            <w:r>
              <w:rPr>
                <w:rFonts w:hint="eastAsia"/>
              </w:rPr>
              <w:t>指标名称</w:t>
            </w:r>
          </w:p>
        </w:tc>
        <w:tc>
          <w:tcPr>
            <w:tcW w:w="709" w:type="dxa"/>
            <w:vAlign w:val="center"/>
          </w:tcPr>
          <w:p w14:paraId="25E37350">
            <w:r>
              <w:rPr>
                <w:rFonts w:hint="eastAsia"/>
              </w:rPr>
              <w:t>计量</w:t>
            </w:r>
          </w:p>
          <w:p w14:paraId="3E11B1BC">
            <w:r>
              <w:rPr>
                <w:rFonts w:hint="eastAsia"/>
              </w:rPr>
              <w:t>单位</w:t>
            </w:r>
          </w:p>
        </w:tc>
        <w:tc>
          <w:tcPr>
            <w:tcW w:w="1125" w:type="dxa"/>
            <w:vAlign w:val="center"/>
          </w:tcPr>
          <w:p w14:paraId="1C97618B">
            <w:r>
              <w:rPr>
                <w:rFonts w:hint="eastAsia"/>
              </w:rPr>
              <w:t>大型</w:t>
            </w:r>
          </w:p>
        </w:tc>
        <w:tc>
          <w:tcPr>
            <w:tcW w:w="1701" w:type="dxa"/>
            <w:vAlign w:val="center"/>
          </w:tcPr>
          <w:p w14:paraId="5A85554D">
            <w:r>
              <w:rPr>
                <w:rFonts w:hint="eastAsia"/>
              </w:rPr>
              <w:t>中型</w:t>
            </w:r>
          </w:p>
        </w:tc>
        <w:tc>
          <w:tcPr>
            <w:tcW w:w="1426" w:type="dxa"/>
            <w:vAlign w:val="center"/>
          </w:tcPr>
          <w:p w14:paraId="08B4AB94">
            <w:r>
              <w:rPr>
                <w:rFonts w:hint="eastAsia"/>
              </w:rPr>
              <w:t>小型</w:t>
            </w:r>
          </w:p>
        </w:tc>
        <w:tc>
          <w:tcPr>
            <w:tcW w:w="992" w:type="dxa"/>
            <w:vAlign w:val="center"/>
          </w:tcPr>
          <w:p w14:paraId="0F86EDCF">
            <w:r>
              <w:rPr>
                <w:rFonts w:hint="eastAsia"/>
              </w:rPr>
              <w:t>微型</w:t>
            </w:r>
          </w:p>
        </w:tc>
      </w:tr>
      <w:tr w14:paraId="2373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6D516B59">
            <w:r>
              <w:rPr>
                <w:rFonts w:hint="eastAsia"/>
              </w:rPr>
              <w:t>农、林、牧、渔业</w:t>
            </w:r>
          </w:p>
        </w:tc>
        <w:tc>
          <w:tcPr>
            <w:tcW w:w="1369" w:type="dxa"/>
            <w:vAlign w:val="center"/>
          </w:tcPr>
          <w:p w14:paraId="620FB0B4">
            <w:r>
              <w:rPr>
                <w:rFonts w:hint="eastAsia"/>
              </w:rPr>
              <w:t>营业收入(Y)</w:t>
            </w:r>
          </w:p>
        </w:tc>
        <w:tc>
          <w:tcPr>
            <w:tcW w:w="709" w:type="dxa"/>
            <w:vAlign w:val="center"/>
          </w:tcPr>
          <w:p w14:paraId="1956F98E">
            <w:r>
              <w:rPr>
                <w:rFonts w:hint="eastAsia"/>
              </w:rPr>
              <w:t>万元</w:t>
            </w:r>
          </w:p>
        </w:tc>
        <w:tc>
          <w:tcPr>
            <w:tcW w:w="1125" w:type="dxa"/>
            <w:vAlign w:val="center"/>
          </w:tcPr>
          <w:p w14:paraId="0DF5C131">
            <w:r>
              <w:rPr>
                <w:rFonts w:hint="eastAsia"/>
              </w:rPr>
              <w:t>Y≥20000</w:t>
            </w:r>
          </w:p>
        </w:tc>
        <w:tc>
          <w:tcPr>
            <w:tcW w:w="1701" w:type="dxa"/>
            <w:vAlign w:val="center"/>
          </w:tcPr>
          <w:p w14:paraId="3B00CA0F">
            <w:r>
              <w:rPr>
                <w:rFonts w:hint="eastAsia"/>
              </w:rPr>
              <w:t>500≤Y＜20000</w:t>
            </w:r>
          </w:p>
        </w:tc>
        <w:tc>
          <w:tcPr>
            <w:tcW w:w="1426" w:type="dxa"/>
            <w:vAlign w:val="center"/>
          </w:tcPr>
          <w:p w14:paraId="4E836744">
            <w:r>
              <w:rPr>
                <w:rFonts w:hint="eastAsia"/>
              </w:rPr>
              <w:t>50≤Y＜500</w:t>
            </w:r>
          </w:p>
        </w:tc>
        <w:tc>
          <w:tcPr>
            <w:tcW w:w="992" w:type="dxa"/>
            <w:vAlign w:val="center"/>
          </w:tcPr>
          <w:p w14:paraId="536E2873">
            <w:r>
              <w:rPr>
                <w:rFonts w:hint="eastAsia"/>
              </w:rPr>
              <w:t>Y＜50</w:t>
            </w:r>
          </w:p>
        </w:tc>
      </w:tr>
      <w:tr w14:paraId="7B5A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63745DF">
            <w:r>
              <w:rPr>
                <w:rFonts w:hint="eastAsia"/>
              </w:rPr>
              <w:t>工业 *</w:t>
            </w:r>
          </w:p>
        </w:tc>
        <w:tc>
          <w:tcPr>
            <w:tcW w:w="1369" w:type="dxa"/>
            <w:vAlign w:val="center"/>
          </w:tcPr>
          <w:p w14:paraId="0624DEB6">
            <w:r>
              <w:rPr>
                <w:rFonts w:hint="eastAsia"/>
              </w:rPr>
              <w:t>从业人员(X)</w:t>
            </w:r>
          </w:p>
        </w:tc>
        <w:tc>
          <w:tcPr>
            <w:tcW w:w="709" w:type="dxa"/>
            <w:vAlign w:val="center"/>
          </w:tcPr>
          <w:p w14:paraId="31367142">
            <w:r>
              <w:rPr>
                <w:rFonts w:hint="eastAsia"/>
              </w:rPr>
              <w:t>人</w:t>
            </w:r>
          </w:p>
        </w:tc>
        <w:tc>
          <w:tcPr>
            <w:tcW w:w="1125" w:type="dxa"/>
            <w:vAlign w:val="center"/>
          </w:tcPr>
          <w:p w14:paraId="1D949D09">
            <w:r>
              <w:rPr>
                <w:rFonts w:hint="eastAsia"/>
              </w:rPr>
              <w:t>X≥1000</w:t>
            </w:r>
          </w:p>
        </w:tc>
        <w:tc>
          <w:tcPr>
            <w:tcW w:w="1701" w:type="dxa"/>
            <w:vAlign w:val="center"/>
          </w:tcPr>
          <w:p w14:paraId="34C05A3E">
            <w:r>
              <w:rPr>
                <w:rFonts w:hint="eastAsia"/>
              </w:rPr>
              <w:t>300≤X＜1000</w:t>
            </w:r>
          </w:p>
        </w:tc>
        <w:tc>
          <w:tcPr>
            <w:tcW w:w="1426" w:type="dxa"/>
            <w:vAlign w:val="center"/>
          </w:tcPr>
          <w:p w14:paraId="3F21FED3">
            <w:r>
              <w:rPr>
                <w:rFonts w:hint="eastAsia"/>
              </w:rPr>
              <w:t>20≤X＜300</w:t>
            </w:r>
          </w:p>
        </w:tc>
        <w:tc>
          <w:tcPr>
            <w:tcW w:w="992" w:type="dxa"/>
            <w:vAlign w:val="center"/>
          </w:tcPr>
          <w:p w14:paraId="5DE467AC">
            <w:r>
              <w:rPr>
                <w:rFonts w:hint="eastAsia"/>
              </w:rPr>
              <w:t>X＜20</w:t>
            </w:r>
          </w:p>
        </w:tc>
      </w:tr>
      <w:tr w14:paraId="43F7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1E4F1D1"/>
        </w:tc>
        <w:tc>
          <w:tcPr>
            <w:tcW w:w="1369" w:type="dxa"/>
            <w:vAlign w:val="center"/>
          </w:tcPr>
          <w:p w14:paraId="2E0AC2C2">
            <w:r>
              <w:rPr>
                <w:rFonts w:hint="eastAsia"/>
              </w:rPr>
              <w:t>营业收入(Y)</w:t>
            </w:r>
          </w:p>
        </w:tc>
        <w:tc>
          <w:tcPr>
            <w:tcW w:w="709" w:type="dxa"/>
            <w:vAlign w:val="center"/>
          </w:tcPr>
          <w:p w14:paraId="2A98F9AB">
            <w:r>
              <w:rPr>
                <w:rFonts w:hint="eastAsia"/>
              </w:rPr>
              <w:t>万元</w:t>
            </w:r>
          </w:p>
        </w:tc>
        <w:tc>
          <w:tcPr>
            <w:tcW w:w="1125" w:type="dxa"/>
            <w:vAlign w:val="center"/>
          </w:tcPr>
          <w:p w14:paraId="15204F3D">
            <w:r>
              <w:rPr>
                <w:rFonts w:hint="eastAsia"/>
              </w:rPr>
              <w:t>Y≥40000</w:t>
            </w:r>
          </w:p>
        </w:tc>
        <w:tc>
          <w:tcPr>
            <w:tcW w:w="1701" w:type="dxa"/>
            <w:vAlign w:val="center"/>
          </w:tcPr>
          <w:p w14:paraId="41E09B74">
            <w:r>
              <w:rPr>
                <w:rFonts w:hint="eastAsia"/>
              </w:rPr>
              <w:t>2000≤Y＜40000</w:t>
            </w:r>
          </w:p>
        </w:tc>
        <w:tc>
          <w:tcPr>
            <w:tcW w:w="1426" w:type="dxa"/>
            <w:vAlign w:val="center"/>
          </w:tcPr>
          <w:p w14:paraId="6BB9F420">
            <w:r>
              <w:rPr>
                <w:rFonts w:hint="eastAsia"/>
              </w:rPr>
              <w:t>300≤Y＜2000</w:t>
            </w:r>
          </w:p>
        </w:tc>
        <w:tc>
          <w:tcPr>
            <w:tcW w:w="992" w:type="dxa"/>
            <w:vAlign w:val="center"/>
          </w:tcPr>
          <w:p w14:paraId="79811271">
            <w:r>
              <w:rPr>
                <w:rFonts w:hint="eastAsia"/>
              </w:rPr>
              <w:t>Y＜300</w:t>
            </w:r>
          </w:p>
        </w:tc>
      </w:tr>
      <w:tr w14:paraId="75F8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5E65A11">
            <w:r>
              <w:rPr>
                <w:rFonts w:hint="eastAsia"/>
              </w:rPr>
              <w:t>建筑业</w:t>
            </w:r>
          </w:p>
        </w:tc>
        <w:tc>
          <w:tcPr>
            <w:tcW w:w="1369" w:type="dxa"/>
            <w:vAlign w:val="center"/>
          </w:tcPr>
          <w:p w14:paraId="606BE910">
            <w:r>
              <w:rPr>
                <w:rFonts w:hint="eastAsia"/>
              </w:rPr>
              <w:t>营业收入(Y)</w:t>
            </w:r>
          </w:p>
        </w:tc>
        <w:tc>
          <w:tcPr>
            <w:tcW w:w="709" w:type="dxa"/>
            <w:vAlign w:val="center"/>
          </w:tcPr>
          <w:p w14:paraId="0421EA3C">
            <w:r>
              <w:rPr>
                <w:rFonts w:hint="eastAsia"/>
              </w:rPr>
              <w:t>万元</w:t>
            </w:r>
          </w:p>
        </w:tc>
        <w:tc>
          <w:tcPr>
            <w:tcW w:w="1125" w:type="dxa"/>
            <w:vAlign w:val="center"/>
          </w:tcPr>
          <w:p w14:paraId="0219ED98">
            <w:r>
              <w:rPr>
                <w:rFonts w:hint="eastAsia"/>
              </w:rPr>
              <w:t>Y≥80000</w:t>
            </w:r>
          </w:p>
        </w:tc>
        <w:tc>
          <w:tcPr>
            <w:tcW w:w="1701" w:type="dxa"/>
            <w:vAlign w:val="center"/>
          </w:tcPr>
          <w:p w14:paraId="2FAEA3F0">
            <w:r>
              <w:rPr>
                <w:rFonts w:hint="eastAsia"/>
              </w:rPr>
              <w:t>6000≤Y＜80000</w:t>
            </w:r>
          </w:p>
        </w:tc>
        <w:tc>
          <w:tcPr>
            <w:tcW w:w="1426" w:type="dxa"/>
            <w:vAlign w:val="center"/>
          </w:tcPr>
          <w:p w14:paraId="7A2A58B5">
            <w:r>
              <w:rPr>
                <w:rFonts w:hint="eastAsia"/>
              </w:rPr>
              <w:t>300≤Y＜6000</w:t>
            </w:r>
          </w:p>
        </w:tc>
        <w:tc>
          <w:tcPr>
            <w:tcW w:w="992" w:type="dxa"/>
            <w:vAlign w:val="center"/>
          </w:tcPr>
          <w:p w14:paraId="52550414">
            <w:r>
              <w:rPr>
                <w:rFonts w:hint="eastAsia"/>
              </w:rPr>
              <w:t>Y＜300</w:t>
            </w:r>
          </w:p>
        </w:tc>
      </w:tr>
      <w:tr w14:paraId="65B1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90AA631"/>
        </w:tc>
        <w:tc>
          <w:tcPr>
            <w:tcW w:w="1369" w:type="dxa"/>
            <w:vAlign w:val="center"/>
          </w:tcPr>
          <w:p w14:paraId="4DA844AD">
            <w:r>
              <w:rPr>
                <w:rFonts w:hint="eastAsia"/>
              </w:rPr>
              <w:t>资产总额(Z)</w:t>
            </w:r>
          </w:p>
        </w:tc>
        <w:tc>
          <w:tcPr>
            <w:tcW w:w="709" w:type="dxa"/>
            <w:vAlign w:val="center"/>
          </w:tcPr>
          <w:p w14:paraId="405A0579">
            <w:r>
              <w:rPr>
                <w:rFonts w:hint="eastAsia"/>
              </w:rPr>
              <w:t>万元</w:t>
            </w:r>
          </w:p>
        </w:tc>
        <w:tc>
          <w:tcPr>
            <w:tcW w:w="1125" w:type="dxa"/>
            <w:vAlign w:val="center"/>
          </w:tcPr>
          <w:p w14:paraId="7E3E0126">
            <w:r>
              <w:rPr>
                <w:rFonts w:hint="eastAsia"/>
              </w:rPr>
              <w:t>Z≥80000</w:t>
            </w:r>
          </w:p>
        </w:tc>
        <w:tc>
          <w:tcPr>
            <w:tcW w:w="1701" w:type="dxa"/>
            <w:vAlign w:val="center"/>
          </w:tcPr>
          <w:p w14:paraId="2D9F8D13">
            <w:r>
              <w:rPr>
                <w:rFonts w:hint="eastAsia"/>
              </w:rPr>
              <w:t>5000≤Z＜80000</w:t>
            </w:r>
          </w:p>
        </w:tc>
        <w:tc>
          <w:tcPr>
            <w:tcW w:w="1426" w:type="dxa"/>
            <w:vAlign w:val="center"/>
          </w:tcPr>
          <w:p w14:paraId="39D820BD">
            <w:r>
              <w:rPr>
                <w:rFonts w:hint="eastAsia"/>
              </w:rPr>
              <w:t>300≤Z＜5000</w:t>
            </w:r>
          </w:p>
        </w:tc>
        <w:tc>
          <w:tcPr>
            <w:tcW w:w="992" w:type="dxa"/>
            <w:vAlign w:val="center"/>
          </w:tcPr>
          <w:p w14:paraId="243C868D">
            <w:r>
              <w:rPr>
                <w:rFonts w:hint="eastAsia"/>
              </w:rPr>
              <w:t>Z＜300</w:t>
            </w:r>
          </w:p>
        </w:tc>
      </w:tr>
      <w:tr w14:paraId="782A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C9B71C2">
            <w:r>
              <w:rPr>
                <w:rFonts w:hint="eastAsia"/>
              </w:rPr>
              <w:t>批发业</w:t>
            </w:r>
          </w:p>
        </w:tc>
        <w:tc>
          <w:tcPr>
            <w:tcW w:w="1369" w:type="dxa"/>
            <w:vAlign w:val="center"/>
          </w:tcPr>
          <w:p w14:paraId="22832964">
            <w:r>
              <w:rPr>
                <w:rFonts w:hint="eastAsia"/>
              </w:rPr>
              <w:t>从业人员(X)</w:t>
            </w:r>
          </w:p>
        </w:tc>
        <w:tc>
          <w:tcPr>
            <w:tcW w:w="709" w:type="dxa"/>
            <w:vAlign w:val="center"/>
          </w:tcPr>
          <w:p w14:paraId="42C0A5AE">
            <w:r>
              <w:rPr>
                <w:rFonts w:hint="eastAsia"/>
              </w:rPr>
              <w:t>人</w:t>
            </w:r>
          </w:p>
        </w:tc>
        <w:tc>
          <w:tcPr>
            <w:tcW w:w="1125" w:type="dxa"/>
            <w:vAlign w:val="center"/>
          </w:tcPr>
          <w:p w14:paraId="0D46A114">
            <w:r>
              <w:rPr>
                <w:rFonts w:hint="eastAsia"/>
              </w:rPr>
              <w:t>X≥200</w:t>
            </w:r>
          </w:p>
        </w:tc>
        <w:tc>
          <w:tcPr>
            <w:tcW w:w="1701" w:type="dxa"/>
            <w:vAlign w:val="center"/>
          </w:tcPr>
          <w:p w14:paraId="293C5780">
            <w:r>
              <w:rPr>
                <w:rFonts w:hint="eastAsia"/>
              </w:rPr>
              <w:t>20≤X＜200</w:t>
            </w:r>
          </w:p>
        </w:tc>
        <w:tc>
          <w:tcPr>
            <w:tcW w:w="1426" w:type="dxa"/>
            <w:vAlign w:val="center"/>
          </w:tcPr>
          <w:p w14:paraId="2A201B6A">
            <w:r>
              <w:rPr>
                <w:rFonts w:hint="eastAsia"/>
              </w:rPr>
              <w:t>5≤X＜20</w:t>
            </w:r>
          </w:p>
        </w:tc>
        <w:tc>
          <w:tcPr>
            <w:tcW w:w="992" w:type="dxa"/>
            <w:vAlign w:val="center"/>
          </w:tcPr>
          <w:p w14:paraId="09753E4B">
            <w:r>
              <w:rPr>
                <w:rFonts w:hint="eastAsia"/>
              </w:rPr>
              <w:t>X＜5</w:t>
            </w:r>
          </w:p>
        </w:tc>
      </w:tr>
      <w:tr w14:paraId="4656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9E3D2F3"/>
        </w:tc>
        <w:tc>
          <w:tcPr>
            <w:tcW w:w="1369" w:type="dxa"/>
            <w:vAlign w:val="center"/>
          </w:tcPr>
          <w:p w14:paraId="08E2BDDF">
            <w:r>
              <w:rPr>
                <w:rFonts w:hint="eastAsia"/>
              </w:rPr>
              <w:t>营业收入(Y)</w:t>
            </w:r>
          </w:p>
        </w:tc>
        <w:tc>
          <w:tcPr>
            <w:tcW w:w="709" w:type="dxa"/>
            <w:vAlign w:val="center"/>
          </w:tcPr>
          <w:p w14:paraId="2265D221">
            <w:r>
              <w:rPr>
                <w:rFonts w:hint="eastAsia"/>
              </w:rPr>
              <w:t>万元</w:t>
            </w:r>
          </w:p>
        </w:tc>
        <w:tc>
          <w:tcPr>
            <w:tcW w:w="1125" w:type="dxa"/>
            <w:vAlign w:val="center"/>
          </w:tcPr>
          <w:p w14:paraId="1D6A322A">
            <w:r>
              <w:rPr>
                <w:rFonts w:hint="eastAsia"/>
              </w:rPr>
              <w:t>Y≥40000</w:t>
            </w:r>
          </w:p>
        </w:tc>
        <w:tc>
          <w:tcPr>
            <w:tcW w:w="1701" w:type="dxa"/>
            <w:vAlign w:val="center"/>
          </w:tcPr>
          <w:p w14:paraId="0A9641B8">
            <w:r>
              <w:rPr>
                <w:rFonts w:hint="eastAsia"/>
              </w:rPr>
              <w:t>5000≤Y＜40000</w:t>
            </w:r>
          </w:p>
        </w:tc>
        <w:tc>
          <w:tcPr>
            <w:tcW w:w="1426" w:type="dxa"/>
            <w:vAlign w:val="center"/>
          </w:tcPr>
          <w:p w14:paraId="541B5A38">
            <w:r>
              <w:rPr>
                <w:rFonts w:hint="eastAsia"/>
              </w:rPr>
              <w:t>1000≤Y＜5000</w:t>
            </w:r>
          </w:p>
        </w:tc>
        <w:tc>
          <w:tcPr>
            <w:tcW w:w="992" w:type="dxa"/>
            <w:vAlign w:val="center"/>
          </w:tcPr>
          <w:p w14:paraId="768AD531">
            <w:r>
              <w:rPr>
                <w:rFonts w:hint="eastAsia"/>
              </w:rPr>
              <w:t>Y＜1000</w:t>
            </w:r>
          </w:p>
        </w:tc>
      </w:tr>
      <w:tr w14:paraId="16EC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3FF28D1">
            <w:r>
              <w:rPr>
                <w:rFonts w:hint="eastAsia"/>
              </w:rPr>
              <w:t>零售业</w:t>
            </w:r>
          </w:p>
        </w:tc>
        <w:tc>
          <w:tcPr>
            <w:tcW w:w="1369" w:type="dxa"/>
            <w:vAlign w:val="center"/>
          </w:tcPr>
          <w:p w14:paraId="6CE42C6D">
            <w:r>
              <w:rPr>
                <w:rFonts w:hint="eastAsia"/>
              </w:rPr>
              <w:t>从业人员(X)</w:t>
            </w:r>
          </w:p>
        </w:tc>
        <w:tc>
          <w:tcPr>
            <w:tcW w:w="709" w:type="dxa"/>
            <w:vAlign w:val="center"/>
          </w:tcPr>
          <w:p w14:paraId="63277165">
            <w:r>
              <w:rPr>
                <w:rFonts w:hint="eastAsia"/>
              </w:rPr>
              <w:t>人</w:t>
            </w:r>
          </w:p>
        </w:tc>
        <w:tc>
          <w:tcPr>
            <w:tcW w:w="1125" w:type="dxa"/>
            <w:vAlign w:val="center"/>
          </w:tcPr>
          <w:p w14:paraId="254AC1D2">
            <w:r>
              <w:rPr>
                <w:rFonts w:hint="eastAsia"/>
              </w:rPr>
              <w:t>X≥300</w:t>
            </w:r>
          </w:p>
        </w:tc>
        <w:tc>
          <w:tcPr>
            <w:tcW w:w="1701" w:type="dxa"/>
            <w:vAlign w:val="center"/>
          </w:tcPr>
          <w:p w14:paraId="7CF45E68">
            <w:r>
              <w:rPr>
                <w:rFonts w:hint="eastAsia"/>
              </w:rPr>
              <w:t>50≤X＜300</w:t>
            </w:r>
          </w:p>
        </w:tc>
        <w:tc>
          <w:tcPr>
            <w:tcW w:w="1426" w:type="dxa"/>
            <w:vAlign w:val="center"/>
          </w:tcPr>
          <w:p w14:paraId="79D5E27A">
            <w:r>
              <w:rPr>
                <w:rFonts w:hint="eastAsia"/>
              </w:rPr>
              <w:t xml:space="preserve">10≤X＜50 </w:t>
            </w:r>
          </w:p>
        </w:tc>
        <w:tc>
          <w:tcPr>
            <w:tcW w:w="992" w:type="dxa"/>
            <w:vAlign w:val="center"/>
          </w:tcPr>
          <w:p w14:paraId="4C9B09D7">
            <w:r>
              <w:rPr>
                <w:rFonts w:hint="eastAsia"/>
              </w:rPr>
              <w:t>X＜10</w:t>
            </w:r>
          </w:p>
        </w:tc>
      </w:tr>
      <w:tr w14:paraId="7860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CD4A370"/>
        </w:tc>
        <w:tc>
          <w:tcPr>
            <w:tcW w:w="1369" w:type="dxa"/>
            <w:vAlign w:val="center"/>
          </w:tcPr>
          <w:p w14:paraId="34930769">
            <w:r>
              <w:rPr>
                <w:rFonts w:hint="eastAsia"/>
              </w:rPr>
              <w:t>营业收入(Y)</w:t>
            </w:r>
          </w:p>
        </w:tc>
        <w:tc>
          <w:tcPr>
            <w:tcW w:w="709" w:type="dxa"/>
            <w:vAlign w:val="center"/>
          </w:tcPr>
          <w:p w14:paraId="34687043">
            <w:r>
              <w:rPr>
                <w:rFonts w:hint="eastAsia"/>
              </w:rPr>
              <w:t>万元</w:t>
            </w:r>
          </w:p>
        </w:tc>
        <w:tc>
          <w:tcPr>
            <w:tcW w:w="1125" w:type="dxa"/>
            <w:vAlign w:val="center"/>
          </w:tcPr>
          <w:p w14:paraId="0D837EBA">
            <w:r>
              <w:rPr>
                <w:rFonts w:hint="eastAsia"/>
              </w:rPr>
              <w:t>Y≥20000</w:t>
            </w:r>
          </w:p>
        </w:tc>
        <w:tc>
          <w:tcPr>
            <w:tcW w:w="1701" w:type="dxa"/>
            <w:vAlign w:val="center"/>
          </w:tcPr>
          <w:p w14:paraId="60D3A53F">
            <w:r>
              <w:rPr>
                <w:rFonts w:hint="eastAsia"/>
              </w:rPr>
              <w:t>500≤Y＜20000</w:t>
            </w:r>
          </w:p>
        </w:tc>
        <w:tc>
          <w:tcPr>
            <w:tcW w:w="1426" w:type="dxa"/>
            <w:vAlign w:val="center"/>
          </w:tcPr>
          <w:p w14:paraId="5D7355C4">
            <w:r>
              <w:rPr>
                <w:rFonts w:hint="eastAsia"/>
              </w:rPr>
              <w:t>100≤Y＜500</w:t>
            </w:r>
          </w:p>
        </w:tc>
        <w:tc>
          <w:tcPr>
            <w:tcW w:w="992" w:type="dxa"/>
            <w:vAlign w:val="center"/>
          </w:tcPr>
          <w:p w14:paraId="5117DF27">
            <w:r>
              <w:rPr>
                <w:rFonts w:hint="eastAsia"/>
              </w:rPr>
              <w:t>Y＜100</w:t>
            </w:r>
          </w:p>
        </w:tc>
      </w:tr>
      <w:tr w14:paraId="06D7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EE416D1">
            <w:r>
              <w:rPr>
                <w:rFonts w:hint="eastAsia"/>
              </w:rPr>
              <w:t>交通运输业 *</w:t>
            </w:r>
          </w:p>
        </w:tc>
        <w:tc>
          <w:tcPr>
            <w:tcW w:w="1369" w:type="dxa"/>
            <w:vAlign w:val="center"/>
          </w:tcPr>
          <w:p w14:paraId="54521CAD">
            <w:r>
              <w:rPr>
                <w:rFonts w:hint="eastAsia"/>
              </w:rPr>
              <w:t>从业人员(X)</w:t>
            </w:r>
          </w:p>
        </w:tc>
        <w:tc>
          <w:tcPr>
            <w:tcW w:w="709" w:type="dxa"/>
            <w:vAlign w:val="center"/>
          </w:tcPr>
          <w:p w14:paraId="427F00AC">
            <w:r>
              <w:rPr>
                <w:rFonts w:hint="eastAsia"/>
              </w:rPr>
              <w:t>人</w:t>
            </w:r>
          </w:p>
        </w:tc>
        <w:tc>
          <w:tcPr>
            <w:tcW w:w="1125" w:type="dxa"/>
            <w:vAlign w:val="center"/>
          </w:tcPr>
          <w:p w14:paraId="627CC8A4">
            <w:r>
              <w:rPr>
                <w:rFonts w:hint="eastAsia"/>
              </w:rPr>
              <w:t>X≥1000</w:t>
            </w:r>
          </w:p>
        </w:tc>
        <w:tc>
          <w:tcPr>
            <w:tcW w:w="1701" w:type="dxa"/>
            <w:vAlign w:val="center"/>
          </w:tcPr>
          <w:p w14:paraId="7EA77EBF">
            <w:r>
              <w:rPr>
                <w:rFonts w:hint="eastAsia"/>
              </w:rPr>
              <w:t>300≤X＜1000</w:t>
            </w:r>
          </w:p>
        </w:tc>
        <w:tc>
          <w:tcPr>
            <w:tcW w:w="1426" w:type="dxa"/>
            <w:vAlign w:val="center"/>
          </w:tcPr>
          <w:p w14:paraId="6511E62D">
            <w:r>
              <w:rPr>
                <w:rFonts w:hint="eastAsia"/>
              </w:rPr>
              <w:t>20≤X＜300</w:t>
            </w:r>
          </w:p>
        </w:tc>
        <w:tc>
          <w:tcPr>
            <w:tcW w:w="992" w:type="dxa"/>
            <w:vAlign w:val="center"/>
          </w:tcPr>
          <w:p w14:paraId="69059BF0">
            <w:r>
              <w:rPr>
                <w:rFonts w:hint="eastAsia"/>
              </w:rPr>
              <w:t>X＜20</w:t>
            </w:r>
          </w:p>
        </w:tc>
      </w:tr>
      <w:tr w14:paraId="32A0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1B301E8"/>
        </w:tc>
        <w:tc>
          <w:tcPr>
            <w:tcW w:w="1369" w:type="dxa"/>
            <w:vAlign w:val="center"/>
          </w:tcPr>
          <w:p w14:paraId="75A4A3DA">
            <w:r>
              <w:rPr>
                <w:rFonts w:hint="eastAsia"/>
              </w:rPr>
              <w:t>营业收入(Y)</w:t>
            </w:r>
          </w:p>
        </w:tc>
        <w:tc>
          <w:tcPr>
            <w:tcW w:w="709" w:type="dxa"/>
            <w:vAlign w:val="center"/>
          </w:tcPr>
          <w:p w14:paraId="0E3DFFA0">
            <w:r>
              <w:rPr>
                <w:rFonts w:hint="eastAsia"/>
              </w:rPr>
              <w:t>万元</w:t>
            </w:r>
          </w:p>
        </w:tc>
        <w:tc>
          <w:tcPr>
            <w:tcW w:w="1125" w:type="dxa"/>
            <w:vAlign w:val="center"/>
          </w:tcPr>
          <w:p w14:paraId="58452EAF">
            <w:r>
              <w:rPr>
                <w:rFonts w:hint="eastAsia"/>
              </w:rPr>
              <w:t>Y≥30000</w:t>
            </w:r>
          </w:p>
        </w:tc>
        <w:tc>
          <w:tcPr>
            <w:tcW w:w="1701" w:type="dxa"/>
            <w:vAlign w:val="center"/>
          </w:tcPr>
          <w:p w14:paraId="0A1732E6">
            <w:r>
              <w:rPr>
                <w:rFonts w:hint="eastAsia"/>
              </w:rPr>
              <w:t>3000≤Y＜30000</w:t>
            </w:r>
          </w:p>
        </w:tc>
        <w:tc>
          <w:tcPr>
            <w:tcW w:w="1426" w:type="dxa"/>
            <w:vAlign w:val="center"/>
          </w:tcPr>
          <w:p w14:paraId="4CA82691">
            <w:r>
              <w:rPr>
                <w:rFonts w:hint="eastAsia"/>
              </w:rPr>
              <w:t>200≤Y＜3000</w:t>
            </w:r>
          </w:p>
        </w:tc>
        <w:tc>
          <w:tcPr>
            <w:tcW w:w="992" w:type="dxa"/>
            <w:vAlign w:val="center"/>
          </w:tcPr>
          <w:p w14:paraId="34667549">
            <w:r>
              <w:rPr>
                <w:rFonts w:hint="eastAsia"/>
              </w:rPr>
              <w:t>Y＜200</w:t>
            </w:r>
          </w:p>
        </w:tc>
      </w:tr>
      <w:tr w14:paraId="3AD4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5AEB44E">
            <w:r>
              <w:rPr>
                <w:rFonts w:hint="eastAsia"/>
              </w:rPr>
              <w:t>仓储业*</w:t>
            </w:r>
          </w:p>
        </w:tc>
        <w:tc>
          <w:tcPr>
            <w:tcW w:w="1369" w:type="dxa"/>
            <w:vAlign w:val="center"/>
          </w:tcPr>
          <w:p w14:paraId="0B84DACF">
            <w:r>
              <w:rPr>
                <w:rFonts w:hint="eastAsia"/>
              </w:rPr>
              <w:t>从业人员(X)</w:t>
            </w:r>
          </w:p>
        </w:tc>
        <w:tc>
          <w:tcPr>
            <w:tcW w:w="709" w:type="dxa"/>
            <w:vAlign w:val="center"/>
          </w:tcPr>
          <w:p w14:paraId="003D7DF0">
            <w:r>
              <w:rPr>
                <w:rFonts w:hint="eastAsia"/>
              </w:rPr>
              <w:t>人</w:t>
            </w:r>
          </w:p>
        </w:tc>
        <w:tc>
          <w:tcPr>
            <w:tcW w:w="1125" w:type="dxa"/>
            <w:vAlign w:val="center"/>
          </w:tcPr>
          <w:p w14:paraId="4C8A2956">
            <w:r>
              <w:rPr>
                <w:rFonts w:hint="eastAsia"/>
              </w:rPr>
              <w:t>X≥200</w:t>
            </w:r>
          </w:p>
        </w:tc>
        <w:tc>
          <w:tcPr>
            <w:tcW w:w="1701" w:type="dxa"/>
            <w:vAlign w:val="center"/>
          </w:tcPr>
          <w:p w14:paraId="4AC76F7C">
            <w:r>
              <w:rPr>
                <w:rFonts w:hint="eastAsia"/>
              </w:rPr>
              <w:t>100≤X＜200</w:t>
            </w:r>
          </w:p>
        </w:tc>
        <w:tc>
          <w:tcPr>
            <w:tcW w:w="1426" w:type="dxa"/>
            <w:vAlign w:val="center"/>
          </w:tcPr>
          <w:p w14:paraId="36351DAF">
            <w:r>
              <w:rPr>
                <w:rFonts w:hint="eastAsia"/>
              </w:rPr>
              <w:t>20≤X＜100</w:t>
            </w:r>
          </w:p>
        </w:tc>
        <w:tc>
          <w:tcPr>
            <w:tcW w:w="992" w:type="dxa"/>
            <w:vAlign w:val="center"/>
          </w:tcPr>
          <w:p w14:paraId="1BB55C1D">
            <w:r>
              <w:rPr>
                <w:rFonts w:hint="eastAsia"/>
              </w:rPr>
              <w:t>X＜20</w:t>
            </w:r>
          </w:p>
        </w:tc>
      </w:tr>
      <w:tr w14:paraId="6B27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9D847E0"/>
        </w:tc>
        <w:tc>
          <w:tcPr>
            <w:tcW w:w="1369" w:type="dxa"/>
            <w:vAlign w:val="center"/>
          </w:tcPr>
          <w:p w14:paraId="6589F512">
            <w:r>
              <w:rPr>
                <w:rFonts w:hint="eastAsia"/>
              </w:rPr>
              <w:t>营业收入(Y)</w:t>
            </w:r>
          </w:p>
        </w:tc>
        <w:tc>
          <w:tcPr>
            <w:tcW w:w="709" w:type="dxa"/>
            <w:vAlign w:val="center"/>
          </w:tcPr>
          <w:p w14:paraId="1EF6E6DD">
            <w:r>
              <w:rPr>
                <w:rFonts w:hint="eastAsia"/>
              </w:rPr>
              <w:t>万元</w:t>
            </w:r>
          </w:p>
        </w:tc>
        <w:tc>
          <w:tcPr>
            <w:tcW w:w="1125" w:type="dxa"/>
            <w:vAlign w:val="center"/>
          </w:tcPr>
          <w:p w14:paraId="1ED65DF7">
            <w:r>
              <w:rPr>
                <w:rFonts w:hint="eastAsia"/>
              </w:rPr>
              <w:t>Y≥30000</w:t>
            </w:r>
          </w:p>
        </w:tc>
        <w:tc>
          <w:tcPr>
            <w:tcW w:w="1701" w:type="dxa"/>
            <w:vAlign w:val="center"/>
          </w:tcPr>
          <w:p w14:paraId="7D7950BE">
            <w:r>
              <w:rPr>
                <w:rFonts w:hint="eastAsia"/>
              </w:rPr>
              <w:t>1000≤Y＜30000</w:t>
            </w:r>
          </w:p>
        </w:tc>
        <w:tc>
          <w:tcPr>
            <w:tcW w:w="1426" w:type="dxa"/>
            <w:vAlign w:val="center"/>
          </w:tcPr>
          <w:p w14:paraId="5DD07D2A">
            <w:r>
              <w:rPr>
                <w:rFonts w:hint="eastAsia"/>
              </w:rPr>
              <w:t>100≤Y＜1000</w:t>
            </w:r>
          </w:p>
        </w:tc>
        <w:tc>
          <w:tcPr>
            <w:tcW w:w="992" w:type="dxa"/>
            <w:vAlign w:val="center"/>
          </w:tcPr>
          <w:p w14:paraId="102C76FB">
            <w:r>
              <w:rPr>
                <w:rFonts w:hint="eastAsia"/>
              </w:rPr>
              <w:t>Y＜100</w:t>
            </w:r>
          </w:p>
        </w:tc>
      </w:tr>
      <w:tr w14:paraId="0787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57E962C">
            <w:r>
              <w:rPr>
                <w:rFonts w:hint="eastAsia"/>
              </w:rPr>
              <w:t>邮政业</w:t>
            </w:r>
          </w:p>
        </w:tc>
        <w:tc>
          <w:tcPr>
            <w:tcW w:w="1369" w:type="dxa"/>
            <w:vAlign w:val="center"/>
          </w:tcPr>
          <w:p w14:paraId="7C40E1D1">
            <w:r>
              <w:rPr>
                <w:rFonts w:hint="eastAsia"/>
              </w:rPr>
              <w:t>从业人员(X)</w:t>
            </w:r>
          </w:p>
        </w:tc>
        <w:tc>
          <w:tcPr>
            <w:tcW w:w="709" w:type="dxa"/>
            <w:vAlign w:val="center"/>
          </w:tcPr>
          <w:p w14:paraId="2E93153A">
            <w:r>
              <w:rPr>
                <w:rFonts w:hint="eastAsia"/>
              </w:rPr>
              <w:t>人</w:t>
            </w:r>
          </w:p>
        </w:tc>
        <w:tc>
          <w:tcPr>
            <w:tcW w:w="1125" w:type="dxa"/>
            <w:vAlign w:val="center"/>
          </w:tcPr>
          <w:p w14:paraId="1D0850C6">
            <w:r>
              <w:rPr>
                <w:rFonts w:hint="eastAsia"/>
              </w:rPr>
              <w:t>X≥1000</w:t>
            </w:r>
          </w:p>
        </w:tc>
        <w:tc>
          <w:tcPr>
            <w:tcW w:w="1701" w:type="dxa"/>
            <w:vAlign w:val="center"/>
          </w:tcPr>
          <w:p w14:paraId="225626D0">
            <w:r>
              <w:rPr>
                <w:rFonts w:hint="eastAsia"/>
              </w:rPr>
              <w:t>300≤X＜1000</w:t>
            </w:r>
          </w:p>
        </w:tc>
        <w:tc>
          <w:tcPr>
            <w:tcW w:w="1426" w:type="dxa"/>
            <w:vAlign w:val="center"/>
          </w:tcPr>
          <w:p w14:paraId="0F5964AF">
            <w:r>
              <w:rPr>
                <w:rFonts w:hint="eastAsia"/>
              </w:rPr>
              <w:t>20≤X＜300</w:t>
            </w:r>
          </w:p>
        </w:tc>
        <w:tc>
          <w:tcPr>
            <w:tcW w:w="992" w:type="dxa"/>
            <w:vAlign w:val="center"/>
          </w:tcPr>
          <w:p w14:paraId="3D4B4F69">
            <w:r>
              <w:rPr>
                <w:rFonts w:hint="eastAsia"/>
              </w:rPr>
              <w:t>X＜20</w:t>
            </w:r>
          </w:p>
        </w:tc>
      </w:tr>
      <w:tr w14:paraId="15D8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3C49587"/>
        </w:tc>
        <w:tc>
          <w:tcPr>
            <w:tcW w:w="1369" w:type="dxa"/>
            <w:vAlign w:val="center"/>
          </w:tcPr>
          <w:p w14:paraId="4462E950">
            <w:r>
              <w:rPr>
                <w:rFonts w:hint="eastAsia"/>
              </w:rPr>
              <w:t>营业收入(Y)</w:t>
            </w:r>
          </w:p>
        </w:tc>
        <w:tc>
          <w:tcPr>
            <w:tcW w:w="709" w:type="dxa"/>
            <w:vAlign w:val="center"/>
          </w:tcPr>
          <w:p w14:paraId="200C190E">
            <w:r>
              <w:rPr>
                <w:rFonts w:hint="eastAsia"/>
              </w:rPr>
              <w:t>万元</w:t>
            </w:r>
          </w:p>
        </w:tc>
        <w:tc>
          <w:tcPr>
            <w:tcW w:w="1125" w:type="dxa"/>
            <w:vAlign w:val="center"/>
          </w:tcPr>
          <w:p w14:paraId="709867B8">
            <w:r>
              <w:rPr>
                <w:rFonts w:hint="eastAsia"/>
              </w:rPr>
              <w:t>Y≥30000</w:t>
            </w:r>
          </w:p>
        </w:tc>
        <w:tc>
          <w:tcPr>
            <w:tcW w:w="1701" w:type="dxa"/>
            <w:vAlign w:val="center"/>
          </w:tcPr>
          <w:p w14:paraId="7AD60156">
            <w:r>
              <w:rPr>
                <w:rFonts w:hint="eastAsia"/>
              </w:rPr>
              <w:t>2000≤Y＜30000</w:t>
            </w:r>
          </w:p>
        </w:tc>
        <w:tc>
          <w:tcPr>
            <w:tcW w:w="1426" w:type="dxa"/>
            <w:vAlign w:val="center"/>
          </w:tcPr>
          <w:p w14:paraId="29FFFFA7">
            <w:r>
              <w:rPr>
                <w:rFonts w:hint="eastAsia"/>
              </w:rPr>
              <w:t>100≤Y＜2000</w:t>
            </w:r>
          </w:p>
        </w:tc>
        <w:tc>
          <w:tcPr>
            <w:tcW w:w="992" w:type="dxa"/>
            <w:vAlign w:val="center"/>
          </w:tcPr>
          <w:p w14:paraId="7CBDA500">
            <w:r>
              <w:rPr>
                <w:rFonts w:hint="eastAsia"/>
              </w:rPr>
              <w:t>Y＜100</w:t>
            </w:r>
          </w:p>
        </w:tc>
      </w:tr>
      <w:tr w14:paraId="3C88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F3C1A44">
            <w:r>
              <w:rPr>
                <w:rFonts w:hint="eastAsia"/>
              </w:rPr>
              <w:t>住宿业</w:t>
            </w:r>
          </w:p>
        </w:tc>
        <w:tc>
          <w:tcPr>
            <w:tcW w:w="1369" w:type="dxa"/>
            <w:vAlign w:val="center"/>
          </w:tcPr>
          <w:p w14:paraId="5005755E">
            <w:r>
              <w:rPr>
                <w:rFonts w:hint="eastAsia"/>
              </w:rPr>
              <w:t>从业人员(X)</w:t>
            </w:r>
          </w:p>
        </w:tc>
        <w:tc>
          <w:tcPr>
            <w:tcW w:w="709" w:type="dxa"/>
            <w:vAlign w:val="center"/>
          </w:tcPr>
          <w:p w14:paraId="160F29EC">
            <w:r>
              <w:rPr>
                <w:rFonts w:hint="eastAsia"/>
              </w:rPr>
              <w:t>人</w:t>
            </w:r>
          </w:p>
        </w:tc>
        <w:tc>
          <w:tcPr>
            <w:tcW w:w="1125" w:type="dxa"/>
            <w:vAlign w:val="center"/>
          </w:tcPr>
          <w:p w14:paraId="4776F2EE">
            <w:r>
              <w:rPr>
                <w:rFonts w:hint="eastAsia"/>
              </w:rPr>
              <w:t>X≥300</w:t>
            </w:r>
          </w:p>
        </w:tc>
        <w:tc>
          <w:tcPr>
            <w:tcW w:w="1701" w:type="dxa"/>
            <w:vAlign w:val="center"/>
          </w:tcPr>
          <w:p w14:paraId="76396D91">
            <w:r>
              <w:rPr>
                <w:rFonts w:hint="eastAsia"/>
              </w:rPr>
              <w:t>100≤X＜300</w:t>
            </w:r>
          </w:p>
        </w:tc>
        <w:tc>
          <w:tcPr>
            <w:tcW w:w="1426" w:type="dxa"/>
            <w:vAlign w:val="center"/>
          </w:tcPr>
          <w:p w14:paraId="7AF4760A">
            <w:r>
              <w:rPr>
                <w:rFonts w:hint="eastAsia"/>
              </w:rPr>
              <w:t>10≤X＜100</w:t>
            </w:r>
          </w:p>
        </w:tc>
        <w:tc>
          <w:tcPr>
            <w:tcW w:w="992" w:type="dxa"/>
            <w:vAlign w:val="center"/>
          </w:tcPr>
          <w:p w14:paraId="145E900E">
            <w:r>
              <w:rPr>
                <w:rFonts w:hint="eastAsia"/>
              </w:rPr>
              <w:t>X＜10</w:t>
            </w:r>
          </w:p>
        </w:tc>
      </w:tr>
      <w:tr w14:paraId="0573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C4FD387"/>
        </w:tc>
        <w:tc>
          <w:tcPr>
            <w:tcW w:w="1369" w:type="dxa"/>
            <w:vAlign w:val="center"/>
          </w:tcPr>
          <w:p w14:paraId="23EC7847">
            <w:r>
              <w:rPr>
                <w:rFonts w:hint="eastAsia"/>
              </w:rPr>
              <w:t>营业收入(Y)</w:t>
            </w:r>
          </w:p>
        </w:tc>
        <w:tc>
          <w:tcPr>
            <w:tcW w:w="709" w:type="dxa"/>
            <w:vAlign w:val="center"/>
          </w:tcPr>
          <w:p w14:paraId="223BB17E">
            <w:r>
              <w:rPr>
                <w:rFonts w:hint="eastAsia"/>
              </w:rPr>
              <w:t>万元</w:t>
            </w:r>
          </w:p>
        </w:tc>
        <w:tc>
          <w:tcPr>
            <w:tcW w:w="1125" w:type="dxa"/>
            <w:vAlign w:val="center"/>
          </w:tcPr>
          <w:p w14:paraId="7F69A445">
            <w:r>
              <w:rPr>
                <w:rFonts w:hint="eastAsia"/>
              </w:rPr>
              <w:t>Y≥10000</w:t>
            </w:r>
          </w:p>
        </w:tc>
        <w:tc>
          <w:tcPr>
            <w:tcW w:w="1701" w:type="dxa"/>
            <w:vAlign w:val="center"/>
          </w:tcPr>
          <w:p w14:paraId="1E810AAF">
            <w:r>
              <w:rPr>
                <w:rFonts w:hint="eastAsia"/>
              </w:rPr>
              <w:t>2000≤Y＜10000</w:t>
            </w:r>
          </w:p>
        </w:tc>
        <w:tc>
          <w:tcPr>
            <w:tcW w:w="1426" w:type="dxa"/>
            <w:vAlign w:val="center"/>
          </w:tcPr>
          <w:p w14:paraId="2AD1E6E8">
            <w:r>
              <w:rPr>
                <w:rFonts w:hint="eastAsia"/>
              </w:rPr>
              <w:t>100≤Y＜2000</w:t>
            </w:r>
          </w:p>
        </w:tc>
        <w:tc>
          <w:tcPr>
            <w:tcW w:w="992" w:type="dxa"/>
            <w:vAlign w:val="center"/>
          </w:tcPr>
          <w:p w14:paraId="39F3C41D">
            <w:r>
              <w:rPr>
                <w:rFonts w:hint="eastAsia"/>
              </w:rPr>
              <w:t>Y＜100</w:t>
            </w:r>
          </w:p>
        </w:tc>
      </w:tr>
      <w:tr w14:paraId="26EB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C9093BC">
            <w:r>
              <w:rPr>
                <w:rFonts w:hint="eastAsia"/>
              </w:rPr>
              <w:t>餐饮业</w:t>
            </w:r>
          </w:p>
        </w:tc>
        <w:tc>
          <w:tcPr>
            <w:tcW w:w="1369" w:type="dxa"/>
            <w:vAlign w:val="center"/>
          </w:tcPr>
          <w:p w14:paraId="6DA23A56">
            <w:r>
              <w:rPr>
                <w:rFonts w:hint="eastAsia"/>
              </w:rPr>
              <w:t>从业人员(X)</w:t>
            </w:r>
          </w:p>
        </w:tc>
        <w:tc>
          <w:tcPr>
            <w:tcW w:w="709" w:type="dxa"/>
            <w:vAlign w:val="center"/>
          </w:tcPr>
          <w:p w14:paraId="79630E67">
            <w:r>
              <w:rPr>
                <w:rFonts w:hint="eastAsia"/>
              </w:rPr>
              <w:t>人</w:t>
            </w:r>
          </w:p>
        </w:tc>
        <w:tc>
          <w:tcPr>
            <w:tcW w:w="1125" w:type="dxa"/>
            <w:vAlign w:val="center"/>
          </w:tcPr>
          <w:p w14:paraId="5F929C2F">
            <w:r>
              <w:rPr>
                <w:rFonts w:hint="eastAsia"/>
              </w:rPr>
              <w:t>X≥300</w:t>
            </w:r>
          </w:p>
        </w:tc>
        <w:tc>
          <w:tcPr>
            <w:tcW w:w="1701" w:type="dxa"/>
            <w:vAlign w:val="center"/>
          </w:tcPr>
          <w:p w14:paraId="66579EDB">
            <w:r>
              <w:rPr>
                <w:rFonts w:hint="eastAsia"/>
              </w:rPr>
              <w:t xml:space="preserve">100≤X＜300 </w:t>
            </w:r>
          </w:p>
        </w:tc>
        <w:tc>
          <w:tcPr>
            <w:tcW w:w="1426" w:type="dxa"/>
            <w:vAlign w:val="center"/>
          </w:tcPr>
          <w:p w14:paraId="4AC2F1B1">
            <w:r>
              <w:rPr>
                <w:rFonts w:hint="eastAsia"/>
              </w:rPr>
              <w:t>10≤X＜100</w:t>
            </w:r>
          </w:p>
        </w:tc>
        <w:tc>
          <w:tcPr>
            <w:tcW w:w="992" w:type="dxa"/>
            <w:vAlign w:val="center"/>
          </w:tcPr>
          <w:p w14:paraId="41615B45">
            <w:r>
              <w:rPr>
                <w:rFonts w:hint="eastAsia"/>
              </w:rPr>
              <w:t>X＜10</w:t>
            </w:r>
          </w:p>
        </w:tc>
      </w:tr>
      <w:tr w14:paraId="3847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F245D20"/>
        </w:tc>
        <w:tc>
          <w:tcPr>
            <w:tcW w:w="1369" w:type="dxa"/>
            <w:vAlign w:val="center"/>
          </w:tcPr>
          <w:p w14:paraId="05F62200">
            <w:r>
              <w:rPr>
                <w:rFonts w:hint="eastAsia"/>
              </w:rPr>
              <w:t>营业收入(Y)</w:t>
            </w:r>
          </w:p>
        </w:tc>
        <w:tc>
          <w:tcPr>
            <w:tcW w:w="709" w:type="dxa"/>
            <w:vAlign w:val="center"/>
          </w:tcPr>
          <w:p w14:paraId="418543AB">
            <w:r>
              <w:rPr>
                <w:rFonts w:hint="eastAsia"/>
              </w:rPr>
              <w:t>万元</w:t>
            </w:r>
          </w:p>
        </w:tc>
        <w:tc>
          <w:tcPr>
            <w:tcW w:w="1125" w:type="dxa"/>
            <w:vAlign w:val="center"/>
          </w:tcPr>
          <w:p w14:paraId="4536380D">
            <w:r>
              <w:rPr>
                <w:rFonts w:hint="eastAsia"/>
              </w:rPr>
              <w:t>Y≥10000</w:t>
            </w:r>
          </w:p>
        </w:tc>
        <w:tc>
          <w:tcPr>
            <w:tcW w:w="1701" w:type="dxa"/>
            <w:vAlign w:val="center"/>
          </w:tcPr>
          <w:p w14:paraId="403E5762">
            <w:r>
              <w:rPr>
                <w:rFonts w:hint="eastAsia"/>
              </w:rPr>
              <w:t>2000≤Y＜10000</w:t>
            </w:r>
          </w:p>
        </w:tc>
        <w:tc>
          <w:tcPr>
            <w:tcW w:w="1426" w:type="dxa"/>
            <w:vAlign w:val="center"/>
          </w:tcPr>
          <w:p w14:paraId="519DE2AA">
            <w:r>
              <w:rPr>
                <w:rFonts w:hint="eastAsia"/>
              </w:rPr>
              <w:t>100≤Y＜2000</w:t>
            </w:r>
          </w:p>
        </w:tc>
        <w:tc>
          <w:tcPr>
            <w:tcW w:w="992" w:type="dxa"/>
            <w:vAlign w:val="center"/>
          </w:tcPr>
          <w:p w14:paraId="68ADE0C3">
            <w:r>
              <w:rPr>
                <w:rFonts w:hint="eastAsia"/>
              </w:rPr>
              <w:t>Y＜100</w:t>
            </w:r>
          </w:p>
        </w:tc>
      </w:tr>
      <w:tr w14:paraId="2CCE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5FFE07C">
            <w:r>
              <w:rPr>
                <w:rFonts w:hint="eastAsia"/>
              </w:rPr>
              <w:t>信息传输业 *</w:t>
            </w:r>
          </w:p>
        </w:tc>
        <w:tc>
          <w:tcPr>
            <w:tcW w:w="1369" w:type="dxa"/>
            <w:vAlign w:val="center"/>
          </w:tcPr>
          <w:p w14:paraId="03542914">
            <w:r>
              <w:rPr>
                <w:rFonts w:hint="eastAsia"/>
              </w:rPr>
              <w:t>从业人员(X)</w:t>
            </w:r>
          </w:p>
        </w:tc>
        <w:tc>
          <w:tcPr>
            <w:tcW w:w="709" w:type="dxa"/>
            <w:vAlign w:val="center"/>
          </w:tcPr>
          <w:p w14:paraId="4822E659">
            <w:r>
              <w:rPr>
                <w:rFonts w:hint="eastAsia"/>
              </w:rPr>
              <w:t>人</w:t>
            </w:r>
          </w:p>
        </w:tc>
        <w:tc>
          <w:tcPr>
            <w:tcW w:w="1125" w:type="dxa"/>
            <w:vAlign w:val="center"/>
          </w:tcPr>
          <w:p w14:paraId="5060F0DB">
            <w:r>
              <w:rPr>
                <w:rFonts w:hint="eastAsia"/>
              </w:rPr>
              <w:t>X≥2000</w:t>
            </w:r>
          </w:p>
        </w:tc>
        <w:tc>
          <w:tcPr>
            <w:tcW w:w="1701" w:type="dxa"/>
            <w:vAlign w:val="center"/>
          </w:tcPr>
          <w:p w14:paraId="2AAE6497">
            <w:r>
              <w:rPr>
                <w:rFonts w:hint="eastAsia"/>
              </w:rPr>
              <w:t>100≤X＜2000</w:t>
            </w:r>
          </w:p>
        </w:tc>
        <w:tc>
          <w:tcPr>
            <w:tcW w:w="1426" w:type="dxa"/>
            <w:vAlign w:val="center"/>
          </w:tcPr>
          <w:p w14:paraId="5117EB2B">
            <w:r>
              <w:rPr>
                <w:rFonts w:hint="eastAsia"/>
              </w:rPr>
              <w:t>10≤X＜100</w:t>
            </w:r>
          </w:p>
        </w:tc>
        <w:tc>
          <w:tcPr>
            <w:tcW w:w="992" w:type="dxa"/>
            <w:vAlign w:val="center"/>
          </w:tcPr>
          <w:p w14:paraId="1E10A5B9">
            <w:r>
              <w:rPr>
                <w:rFonts w:hint="eastAsia"/>
              </w:rPr>
              <w:t>X＜10</w:t>
            </w:r>
          </w:p>
        </w:tc>
      </w:tr>
      <w:tr w14:paraId="3A60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1E7649A"/>
        </w:tc>
        <w:tc>
          <w:tcPr>
            <w:tcW w:w="1369" w:type="dxa"/>
            <w:vAlign w:val="center"/>
          </w:tcPr>
          <w:p w14:paraId="779DABDC">
            <w:r>
              <w:rPr>
                <w:rFonts w:hint="eastAsia"/>
              </w:rPr>
              <w:t>营业收入(Y)</w:t>
            </w:r>
          </w:p>
        </w:tc>
        <w:tc>
          <w:tcPr>
            <w:tcW w:w="709" w:type="dxa"/>
            <w:vAlign w:val="center"/>
          </w:tcPr>
          <w:p w14:paraId="377D4714">
            <w:r>
              <w:rPr>
                <w:rFonts w:hint="eastAsia"/>
              </w:rPr>
              <w:t>万元</w:t>
            </w:r>
          </w:p>
        </w:tc>
        <w:tc>
          <w:tcPr>
            <w:tcW w:w="1125" w:type="dxa"/>
            <w:vAlign w:val="center"/>
          </w:tcPr>
          <w:p w14:paraId="00655E2F">
            <w:r>
              <w:rPr>
                <w:rFonts w:hint="eastAsia"/>
              </w:rPr>
              <w:t>Y≥100000</w:t>
            </w:r>
          </w:p>
        </w:tc>
        <w:tc>
          <w:tcPr>
            <w:tcW w:w="1701" w:type="dxa"/>
            <w:vAlign w:val="center"/>
          </w:tcPr>
          <w:p w14:paraId="0665EBEF">
            <w:r>
              <w:rPr>
                <w:rFonts w:hint="eastAsia"/>
              </w:rPr>
              <w:t>1000≤Y＜100000</w:t>
            </w:r>
          </w:p>
        </w:tc>
        <w:tc>
          <w:tcPr>
            <w:tcW w:w="1426" w:type="dxa"/>
            <w:vAlign w:val="center"/>
          </w:tcPr>
          <w:p w14:paraId="5329FE2A">
            <w:r>
              <w:rPr>
                <w:rFonts w:hint="eastAsia"/>
              </w:rPr>
              <w:t>100≤Y＜1000</w:t>
            </w:r>
          </w:p>
        </w:tc>
        <w:tc>
          <w:tcPr>
            <w:tcW w:w="992" w:type="dxa"/>
            <w:vAlign w:val="center"/>
          </w:tcPr>
          <w:p w14:paraId="6F42A193">
            <w:r>
              <w:rPr>
                <w:rFonts w:hint="eastAsia"/>
              </w:rPr>
              <w:t>Y＜100</w:t>
            </w:r>
          </w:p>
        </w:tc>
      </w:tr>
      <w:tr w14:paraId="3F87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4FC90E3">
            <w:r>
              <w:rPr>
                <w:rFonts w:hint="eastAsia"/>
              </w:rPr>
              <w:t>软件和信息技术服务业</w:t>
            </w:r>
          </w:p>
        </w:tc>
        <w:tc>
          <w:tcPr>
            <w:tcW w:w="1369" w:type="dxa"/>
            <w:vAlign w:val="center"/>
          </w:tcPr>
          <w:p w14:paraId="64BA1931">
            <w:r>
              <w:rPr>
                <w:rFonts w:hint="eastAsia"/>
              </w:rPr>
              <w:t>从业人员(X)</w:t>
            </w:r>
          </w:p>
        </w:tc>
        <w:tc>
          <w:tcPr>
            <w:tcW w:w="709" w:type="dxa"/>
            <w:vAlign w:val="center"/>
          </w:tcPr>
          <w:p w14:paraId="6F5C8E30">
            <w:r>
              <w:rPr>
                <w:rFonts w:hint="eastAsia"/>
              </w:rPr>
              <w:t>人</w:t>
            </w:r>
          </w:p>
        </w:tc>
        <w:tc>
          <w:tcPr>
            <w:tcW w:w="1125" w:type="dxa"/>
            <w:vAlign w:val="center"/>
          </w:tcPr>
          <w:p w14:paraId="39258806">
            <w:r>
              <w:rPr>
                <w:rFonts w:hint="eastAsia"/>
              </w:rPr>
              <w:t>X≥300</w:t>
            </w:r>
          </w:p>
        </w:tc>
        <w:tc>
          <w:tcPr>
            <w:tcW w:w="1701" w:type="dxa"/>
            <w:vAlign w:val="center"/>
          </w:tcPr>
          <w:p w14:paraId="21703417">
            <w:r>
              <w:rPr>
                <w:rFonts w:hint="eastAsia"/>
              </w:rPr>
              <w:t xml:space="preserve">100≤X＜300 </w:t>
            </w:r>
          </w:p>
        </w:tc>
        <w:tc>
          <w:tcPr>
            <w:tcW w:w="1426" w:type="dxa"/>
            <w:vAlign w:val="center"/>
          </w:tcPr>
          <w:p w14:paraId="720D7D77">
            <w:r>
              <w:rPr>
                <w:rFonts w:hint="eastAsia"/>
              </w:rPr>
              <w:t>10≤X＜100</w:t>
            </w:r>
          </w:p>
        </w:tc>
        <w:tc>
          <w:tcPr>
            <w:tcW w:w="992" w:type="dxa"/>
            <w:vAlign w:val="center"/>
          </w:tcPr>
          <w:p w14:paraId="22F9CBE2">
            <w:r>
              <w:rPr>
                <w:rFonts w:hint="eastAsia"/>
              </w:rPr>
              <w:t>X＜10</w:t>
            </w:r>
          </w:p>
        </w:tc>
      </w:tr>
      <w:tr w14:paraId="1D14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E1FB6F6"/>
        </w:tc>
        <w:tc>
          <w:tcPr>
            <w:tcW w:w="1369" w:type="dxa"/>
            <w:vAlign w:val="center"/>
          </w:tcPr>
          <w:p w14:paraId="2240105C">
            <w:r>
              <w:rPr>
                <w:rFonts w:hint="eastAsia"/>
              </w:rPr>
              <w:t>营业收入(Y)</w:t>
            </w:r>
          </w:p>
        </w:tc>
        <w:tc>
          <w:tcPr>
            <w:tcW w:w="709" w:type="dxa"/>
            <w:vAlign w:val="center"/>
          </w:tcPr>
          <w:p w14:paraId="6B1ACEDD">
            <w:r>
              <w:rPr>
                <w:rFonts w:hint="eastAsia"/>
              </w:rPr>
              <w:t>万元</w:t>
            </w:r>
          </w:p>
        </w:tc>
        <w:tc>
          <w:tcPr>
            <w:tcW w:w="1125" w:type="dxa"/>
            <w:vAlign w:val="center"/>
          </w:tcPr>
          <w:p w14:paraId="6511F468">
            <w:r>
              <w:rPr>
                <w:rFonts w:hint="eastAsia"/>
              </w:rPr>
              <w:t>Y≥10000</w:t>
            </w:r>
          </w:p>
        </w:tc>
        <w:tc>
          <w:tcPr>
            <w:tcW w:w="1701" w:type="dxa"/>
            <w:vAlign w:val="center"/>
          </w:tcPr>
          <w:p w14:paraId="6868FDCE">
            <w:r>
              <w:rPr>
                <w:rFonts w:hint="eastAsia"/>
              </w:rPr>
              <w:t>1000≤Y＜10000</w:t>
            </w:r>
          </w:p>
        </w:tc>
        <w:tc>
          <w:tcPr>
            <w:tcW w:w="1426" w:type="dxa"/>
            <w:vAlign w:val="center"/>
          </w:tcPr>
          <w:p w14:paraId="30D0AB81">
            <w:r>
              <w:rPr>
                <w:rFonts w:hint="eastAsia"/>
              </w:rPr>
              <w:t>50≤Y＜1000</w:t>
            </w:r>
          </w:p>
        </w:tc>
        <w:tc>
          <w:tcPr>
            <w:tcW w:w="992" w:type="dxa"/>
            <w:vAlign w:val="center"/>
          </w:tcPr>
          <w:p w14:paraId="6CAF7970">
            <w:r>
              <w:rPr>
                <w:rFonts w:hint="eastAsia"/>
              </w:rPr>
              <w:t>Y＜50</w:t>
            </w:r>
          </w:p>
        </w:tc>
      </w:tr>
      <w:tr w14:paraId="1587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5178853">
            <w:r>
              <w:rPr>
                <w:rFonts w:hint="eastAsia"/>
              </w:rPr>
              <w:t>房地产开发经营</w:t>
            </w:r>
          </w:p>
        </w:tc>
        <w:tc>
          <w:tcPr>
            <w:tcW w:w="1369" w:type="dxa"/>
            <w:vAlign w:val="center"/>
          </w:tcPr>
          <w:p w14:paraId="4169C093">
            <w:r>
              <w:rPr>
                <w:rFonts w:hint="eastAsia"/>
              </w:rPr>
              <w:t>营业收入(Y)</w:t>
            </w:r>
          </w:p>
        </w:tc>
        <w:tc>
          <w:tcPr>
            <w:tcW w:w="709" w:type="dxa"/>
            <w:vAlign w:val="center"/>
          </w:tcPr>
          <w:p w14:paraId="5CADC5FF">
            <w:r>
              <w:rPr>
                <w:rFonts w:hint="eastAsia"/>
              </w:rPr>
              <w:t>万元</w:t>
            </w:r>
          </w:p>
        </w:tc>
        <w:tc>
          <w:tcPr>
            <w:tcW w:w="1125" w:type="dxa"/>
            <w:vAlign w:val="center"/>
          </w:tcPr>
          <w:p w14:paraId="5543EFFD">
            <w:r>
              <w:rPr>
                <w:rFonts w:hint="eastAsia"/>
              </w:rPr>
              <w:t>Y≥200000</w:t>
            </w:r>
          </w:p>
        </w:tc>
        <w:tc>
          <w:tcPr>
            <w:tcW w:w="1701" w:type="dxa"/>
            <w:vAlign w:val="center"/>
          </w:tcPr>
          <w:p w14:paraId="665882B2">
            <w:r>
              <w:rPr>
                <w:rFonts w:hint="eastAsia"/>
              </w:rPr>
              <w:t>1000≤Y＜200000</w:t>
            </w:r>
          </w:p>
        </w:tc>
        <w:tc>
          <w:tcPr>
            <w:tcW w:w="1426" w:type="dxa"/>
            <w:vAlign w:val="center"/>
          </w:tcPr>
          <w:p w14:paraId="396E2722">
            <w:r>
              <w:rPr>
                <w:rFonts w:hint="eastAsia"/>
              </w:rPr>
              <w:t>100≤Y＜1000</w:t>
            </w:r>
          </w:p>
        </w:tc>
        <w:tc>
          <w:tcPr>
            <w:tcW w:w="992" w:type="dxa"/>
            <w:vAlign w:val="center"/>
          </w:tcPr>
          <w:p w14:paraId="00A51F2B">
            <w:r>
              <w:rPr>
                <w:rFonts w:hint="eastAsia"/>
              </w:rPr>
              <w:t>Y＜100</w:t>
            </w:r>
          </w:p>
        </w:tc>
      </w:tr>
      <w:tr w14:paraId="7DFA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A64FDD7"/>
        </w:tc>
        <w:tc>
          <w:tcPr>
            <w:tcW w:w="1369" w:type="dxa"/>
            <w:vAlign w:val="center"/>
          </w:tcPr>
          <w:p w14:paraId="41914C13">
            <w:r>
              <w:rPr>
                <w:rFonts w:hint="eastAsia"/>
              </w:rPr>
              <w:t>资产总额(Z)</w:t>
            </w:r>
          </w:p>
        </w:tc>
        <w:tc>
          <w:tcPr>
            <w:tcW w:w="709" w:type="dxa"/>
            <w:vAlign w:val="center"/>
          </w:tcPr>
          <w:p w14:paraId="2B80CE3B">
            <w:r>
              <w:rPr>
                <w:rFonts w:hint="eastAsia"/>
              </w:rPr>
              <w:t>万元</w:t>
            </w:r>
          </w:p>
        </w:tc>
        <w:tc>
          <w:tcPr>
            <w:tcW w:w="1125" w:type="dxa"/>
            <w:vAlign w:val="center"/>
          </w:tcPr>
          <w:p w14:paraId="2B0293E0">
            <w:r>
              <w:rPr>
                <w:rFonts w:hint="eastAsia"/>
              </w:rPr>
              <w:t>Z≥10000</w:t>
            </w:r>
          </w:p>
        </w:tc>
        <w:tc>
          <w:tcPr>
            <w:tcW w:w="1701" w:type="dxa"/>
            <w:vAlign w:val="center"/>
          </w:tcPr>
          <w:p w14:paraId="7293C5E7">
            <w:r>
              <w:rPr>
                <w:rFonts w:hint="eastAsia"/>
              </w:rPr>
              <w:t>5000≤Z＜10000</w:t>
            </w:r>
          </w:p>
        </w:tc>
        <w:tc>
          <w:tcPr>
            <w:tcW w:w="1426" w:type="dxa"/>
            <w:vAlign w:val="center"/>
          </w:tcPr>
          <w:p w14:paraId="1F80AFD1">
            <w:r>
              <w:rPr>
                <w:rFonts w:hint="eastAsia"/>
              </w:rPr>
              <w:t>2000≤Z＜5000</w:t>
            </w:r>
          </w:p>
        </w:tc>
        <w:tc>
          <w:tcPr>
            <w:tcW w:w="992" w:type="dxa"/>
            <w:vAlign w:val="center"/>
          </w:tcPr>
          <w:p w14:paraId="1BCDA351">
            <w:r>
              <w:rPr>
                <w:rFonts w:hint="eastAsia"/>
              </w:rPr>
              <w:t>Z＜2000</w:t>
            </w:r>
          </w:p>
        </w:tc>
      </w:tr>
      <w:tr w14:paraId="3634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84EC232">
            <w:r>
              <w:rPr>
                <w:rFonts w:hint="eastAsia"/>
              </w:rPr>
              <w:t>物业管理</w:t>
            </w:r>
          </w:p>
        </w:tc>
        <w:tc>
          <w:tcPr>
            <w:tcW w:w="1369" w:type="dxa"/>
            <w:vAlign w:val="center"/>
          </w:tcPr>
          <w:p w14:paraId="408EF4C6">
            <w:r>
              <w:rPr>
                <w:rFonts w:hint="eastAsia"/>
              </w:rPr>
              <w:t>从业人员(X)</w:t>
            </w:r>
          </w:p>
        </w:tc>
        <w:tc>
          <w:tcPr>
            <w:tcW w:w="709" w:type="dxa"/>
            <w:vAlign w:val="center"/>
          </w:tcPr>
          <w:p w14:paraId="1ED9AE50">
            <w:r>
              <w:rPr>
                <w:rFonts w:hint="eastAsia"/>
              </w:rPr>
              <w:t>人</w:t>
            </w:r>
          </w:p>
        </w:tc>
        <w:tc>
          <w:tcPr>
            <w:tcW w:w="1125" w:type="dxa"/>
            <w:vAlign w:val="center"/>
          </w:tcPr>
          <w:p w14:paraId="19EF7FC7">
            <w:r>
              <w:rPr>
                <w:rFonts w:hint="eastAsia"/>
              </w:rPr>
              <w:t>X≥1000</w:t>
            </w:r>
          </w:p>
        </w:tc>
        <w:tc>
          <w:tcPr>
            <w:tcW w:w="1701" w:type="dxa"/>
            <w:vAlign w:val="center"/>
          </w:tcPr>
          <w:p w14:paraId="17DF3270">
            <w:r>
              <w:rPr>
                <w:rFonts w:hint="eastAsia"/>
              </w:rPr>
              <w:t>300≤X＜1000</w:t>
            </w:r>
          </w:p>
        </w:tc>
        <w:tc>
          <w:tcPr>
            <w:tcW w:w="1426" w:type="dxa"/>
            <w:vAlign w:val="center"/>
          </w:tcPr>
          <w:p w14:paraId="0A219098">
            <w:r>
              <w:rPr>
                <w:rFonts w:hint="eastAsia"/>
              </w:rPr>
              <w:t>100≤X＜300</w:t>
            </w:r>
          </w:p>
        </w:tc>
        <w:tc>
          <w:tcPr>
            <w:tcW w:w="992" w:type="dxa"/>
            <w:vAlign w:val="center"/>
          </w:tcPr>
          <w:p w14:paraId="2A0CBC41">
            <w:r>
              <w:rPr>
                <w:rFonts w:hint="eastAsia"/>
              </w:rPr>
              <w:t>X＜100</w:t>
            </w:r>
          </w:p>
        </w:tc>
      </w:tr>
      <w:tr w14:paraId="373F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0826B07"/>
        </w:tc>
        <w:tc>
          <w:tcPr>
            <w:tcW w:w="1369" w:type="dxa"/>
            <w:vAlign w:val="center"/>
          </w:tcPr>
          <w:p w14:paraId="1EED7405">
            <w:r>
              <w:rPr>
                <w:rFonts w:hint="eastAsia"/>
              </w:rPr>
              <w:t>营业收入(Y)</w:t>
            </w:r>
          </w:p>
        </w:tc>
        <w:tc>
          <w:tcPr>
            <w:tcW w:w="709" w:type="dxa"/>
            <w:vAlign w:val="center"/>
          </w:tcPr>
          <w:p w14:paraId="06BC8B25">
            <w:r>
              <w:rPr>
                <w:rFonts w:hint="eastAsia"/>
              </w:rPr>
              <w:t>万元</w:t>
            </w:r>
          </w:p>
        </w:tc>
        <w:tc>
          <w:tcPr>
            <w:tcW w:w="1125" w:type="dxa"/>
            <w:vAlign w:val="center"/>
          </w:tcPr>
          <w:p w14:paraId="370B01DA">
            <w:r>
              <w:rPr>
                <w:rFonts w:hint="eastAsia"/>
              </w:rPr>
              <w:t>Y≥5000</w:t>
            </w:r>
          </w:p>
        </w:tc>
        <w:tc>
          <w:tcPr>
            <w:tcW w:w="1701" w:type="dxa"/>
            <w:vAlign w:val="center"/>
          </w:tcPr>
          <w:p w14:paraId="5170812A">
            <w:r>
              <w:rPr>
                <w:rFonts w:hint="eastAsia"/>
              </w:rPr>
              <w:t>1000≤Y＜5000</w:t>
            </w:r>
          </w:p>
        </w:tc>
        <w:tc>
          <w:tcPr>
            <w:tcW w:w="1426" w:type="dxa"/>
            <w:vAlign w:val="center"/>
          </w:tcPr>
          <w:p w14:paraId="69BD4048">
            <w:r>
              <w:rPr>
                <w:rFonts w:hint="eastAsia"/>
              </w:rPr>
              <w:t>500≤Y＜1000</w:t>
            </w:r>
          </w:p>
        </w:tc>
        <w:tc>
          <w:tcPr>
            <w:tcW w:w="992" w:type="dxa"/>
            <w:vAlign w:val="center"/>
          </w:tcPr>
          <w:p w14:paraId="12F991D6">
            <w:r>
              <w:rPr>
                <w:rFonts w:hint="eastAsia"/>
              </w:rPr>
              <w:t>Y＜500</w:t>
            </w:r>
          </w:p>
        </w:tc>
      </w:tr>
      <w:tr w14:paraId="4B31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3C92115">
            <w:r>
              <w:rPr>
                <w:rFonts w:hint="eastAsia"/>
              </w:rPr>
              <w:t>租赁和商务服务业</w:t>
            </w:r>
          </w:p>
        </w:tc>
        <w:tc>
          <w:tcPr>
            <w:tcW w:w="1369" w:type="dxa"/>
            <w:vAlign w:val="center"/>
          </w:tcPr>
          <w:p w14:paraId="04D1AAB0">
            <w:r>
              <w:rPr>
                <w:rFonts w:hint="eastAsia"/>
              </w:rPr>
              <w:t>从业人员(X)</w:t>
            </w:r>
          </w:p>
        </w:tc>
        <w:tc>
          <w:tcPr>
            <w:tcW w:w="709" w:type="dxa"/>
            <w:vAlign w:val="center"/>
          </w:tcPr>
          <w:p w14:paraId="13B630AE">
            <w:r>
              <w:rPr>
                <w:rFonts w:hint="eastAsia"/>
              </w:rPr>
              <w:t>人</w:t>
            </w:r>
          </w:p>
        </w:tc>
        <w:tc>
          <w:tcPr>
            <w:tcW w:w="1125" w:type="dxa"/>
            <w:vAlign w:val="center"/>
          </w:tcPr>
          <w:p w14:paraId="02408874">
            <w:r>
              <w:rPr>
                <w:rFonts w:hint="eastAsia"/>
              </w:rPr>
              <w:t>X≥300</w:t>
            </w:r>
          </w:p>
        </w:tc>
        <w:tc>
          <w:tcPr>
            <w:tcW w:w="1701" w:type="dxa"/>
            <w:vAlign w:val="center"/>
          </w:tcPr>
          <w:p w14:paraId="7383B703">
            <w:r>
              <w:rPr>
                <w:rFonts w:hint="eastAsia"/>
              </w:rPr>
              <w:t>100≤X＜300</w:t>
            </w:r>
          </w:p>
        </w:tc>
        <w:tc>
          <w:tcPr>
            <w:tcW w:w="1426" w:type="dxa"/>
            <w:vAlign w:val="center"/>
          </w:tcPr>
          <w:p w14:paraId="25EA70AA">
            <w:r>
              <w:rPr>
                <w:rFonts w:hint="eastAsia"/>
              </w:rPr>
              <w:t>10≤X＜100</w:t>
            </w:r>
          </w:p>
        </w:tc>
        <w:tc>
          <w:tcPr>
            <w:tcW w:w="992" w:type="dxa"/>
            <w:vAlign w:val="center"/>
          </w:tcPr>
          <w:p w14:paraId="0C0D067C">
            <w:r>
              <w:rPr>
                <w:rFonts w:hint="eastAsia"/>
              </w:rPr>
              <w:t>X＜10</w:t>
            </w:r>
          </w:p>
        </w:tc>
      </w:tr>
      <w:tr w14:paraId="662C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95705A9"/>
        </w:tc>
        <w:tc>
          <w:tcPr>
            <w:tcW w:w="1369" w:type="dxa"/>
            <w:vAlign w:val="center"/>
          </w:tcPr>
          <w:p w14:paraId="47042BB7">
            <w:r>
              <w:rPr>
                <w:rFonts w:hint="eastAsia"/>
              </w:rPr>
              <w:t>资产总额(Z)</w:t>
            </w:r>
          </w:p>
        </w:tc>
        <w:tc>
          <w:tcPr>
            <w:tcW w:w="709" w:type="dxa"/>
            <w:vAlign w:val="center"/>
          </w:tcPr>
          <w:p w14:paraId="6F3C8FB7">
            <w:r>
              <w:rPr>
                <w:rFonts w:hint="eastAsia"/>
              </w:rPr>
              <w:t>万元</w:t>
            </w:r>
          </w:p>
        </w:tc>
        <w:tc>
          <w:tcPr>
            <w:tcW w:w="1125" w:type="dxa"/>
            <w:vAlign w:val="center"/>
          </w:tcPr>
          <w:p w14:paraId="1BEB8722">
            <w:r>
              <w:rPr>
                <w:rFonts w:hint="eastAsia"/>
              </w:rPr>
              <w:t>Z≥120000</w:t>
            </w:r>
          </w:p>
        </w:tc>
        <w:tc>
          <w:tcPr>
            <w:tcW w:w="1701" w:type="dxa"/>
            <w:vAlign w:val="center"/>
          </w:tcPr>
          <w:p w14:paraId="49F1C479">
            <w:r>
              <w:rPr>
                <w:rFonts w:hint="eastAsia"/>
              </w:rPr>
              <w:t>8000≤Z＜120000</w:t>
            </w:r>
          </w:p>
        </w:tc>
        <w:tc>
          <w:tcPr>
            <w:tcW w:w="1426" w:type="dxa"/>
            <w:vAlign w:val="center"/>
          </w:tcPr>
          <w:p w14:paraId="03E665A4">
            <w:r>
              <w:rPr>
                <w:rFonts w:hint="eastAsia"/>
              </w:rPr>
              <w:t>100≤Z＜8000</w:t>
            </w:r>
          </w:p>
        </w:tc>
        <w:tc>
          <w:tcPr>
            <w:tcW w:w="992" w:type="dxa"/>
            <w:vAlign w:val="center"/>
          </w:tcPr>
          <w:p w14:paraId="2FA97761">
            <w:r>
              <w:rPr>
                <w:rFonts w:hint="eastAsia"/>
              </w:rPr>
              <w:t>Z＜100</w:t>
            </w:r>
          </w:p>
        </w:tc>
      </w:tr>
      <w:tr w14:paraId="5CE2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1A0F76CE">
            <w:r>
              <w:rPr>
                <w:rFonts w:hint="eastAsia"/>
              </w:rPr>
              <w:t>其他未列明行业 *</w:t>
            </w:r>
          </w:p>
        </w:tc>
        <w:tc>
          <w:tcPr>
            <w:tcW w:w="1369" w:type="dxa"/>
            <w:vAlign w:val="center"/>
          </w:tcPr>
          <w:p w14:paraId="099D5C5F">
            <w:r>
              <w:rPr>
                <w:rFonts w:hint="eastAsia"/>
              </w:rPr>
              <w:t>从业人员(X)</w:t>
            </w:r>
          </w:p>
        </w:tc>
        <w:tc>
          <w:tcPr>
            <w:tcW w:w="709" w:type="dxa"/>
            <w:vAlign w:val="center"/>
          </w:tcPr>
          <w:p w14:paraId="6518C698">
            <w:r>
              <w:rPr>
                <w:rFonts w:hint="eastAsia"/>
              </w:rPr>
              <w:t>人</w:t>
            </w:r>
          </w:p>
        </w:tc>
        <w:tc>
          <w:tcPr>
            <w:tcW w:w="1125" w:type="dxa"/>
            <w:vAlign w:val="center"/>
          </w:tcPr>
          <w:p w14:paraId="2D4127EA">
            <w:r>
              <w:rPr>
                <w:rFonts w:hint="eastAsia"/>
              </w:rPr>
              <w:t>X≥300</w:t>
            </w:r>
          </w:p>
        </w:tc>
        <w:tc>
          <w:tcPr>
            <w:tcW w:w="1701" w:type="dxa"/>
            <w:vAlign w:val="center"/>
          </w:tcPr>
          <w:p w14:paraId="47212E3B">
            <w:r>
              <w:rPr>
                <w:rFonts w:hint="eastAsia"/>
              </w:rPr>
              <w:t>100≤X＜300</w:t>
            </w:r>
          </w:p>
        </w:tc>
        <w:tc>
          <w:tcPr>
            <w:tcW w:w="1426" w:type="dxa"/>
            <w:vAlign w:val="center"/>
          </w:tcPr>
          <w:p w14:paraId="19CD6641">
            <w:r>
              <w:rPr>
                <w:rFonts w:hint="eastAsia"/>
              </w:rPr>
              <w:t>10≤X＜100</w:t>
            </w:r>
          </w:p>
        </w:tc>
        <w:tc>
          <w:tcPr>
            <w:tcW w:w="992" w:type="dxa"/>
            <w:vAlign w:val="center"/>
          </w:tcPr>
          <w:p w14:paraId="43D928D5">
            <w:r>
              <w:rPr>
                <w:rFonts w:hint="eastAsia"/>
              </w:rPr>
              <w:t>X＜10</w:t>
            </w:r>
          </w:p>
        </w:tc>
      </w:tr>
    </w:tbl>
    <w:p w14:paraId="38A16E5C"/>
    <w:p w14:paraId="0E8496B4">
      <w:r>
        <w:rPr>
          <w:rFonts w:hint="eastAsia"/>
        </w:rPr>
        <w:t>说明：</w:t>
      </w:r>
    </w:p>
    <w:p w14:paraId="33AA7000">
      <w:pPr>
        <w:pStyle w:val="21"/>
        <w:rPr>
          <w:sz w:val="21"/>
        </w:rPr>
      </w:pPr>
      <w:r>
        <w:rPr>
          <w:rFonts w:hint="eastAsia"/>
          <w:sz w:val="21"/>
        </w:rPr>
        <w:t>1.大型、中型和小型企业须同时满足所列指标的下限，否则下划一档；微型企业只须满足所列指标中的一项即可。</w:t>
      </w:r>
    </w:p>
    <w:p w14:paraId="50427A5C">
      <w:pPr>
        <w:pStyle w:val="21"/>
        <w:rPr>
          <w:sz w:val="21"/>
        </w:rPr>
      </w:pPr>
      <w:r>
        <w:rPr>
          <w:rFonts w:hint="eastAsia"/>
          <w:sz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3C1242D">
      <w:pPr>
        <w:pStyle w:val="21"/>
        <w:rPr>
          <w:sz w:val="21"/>
        </w:rPr>
      </w:pPr>
      <w:r>
        <w:rPr>
          <w:rFonts w:hint="eastAsia"/>
          <w:sz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975271A">
      <w:r>
        <w:br w:type="page"/>
      </w:r>
    </w:p>
    <w:p w14:paraId="515A7050"/>
    <w:p w14:paraId="347515FA">
      <w:pPr>
        <w:pStyle w:val="2"/>
      </w:pPr>
      <w:bookmarkStart w:id="85" w:name="_Toc73550041"/>
      <w:bookmarkStart w:id="86" w:name="_Toc29589"/>
      <w:bookmarkStart w:id="87" w:name="_Toc44229896"/>
      <w:bookmarkStart w:id="88" w:name="_Toc136592401"/>
      <w:r>
        <w:rPr>
          <w:rFonts w:hint="eastAsia"/>
        </w:rPr>
        <w:t>第四章 评审程序、评审方法和评审标准</w:t>
      </w:r>
      <w:bookmarkEnd w:id="85"/>
      <w:bookmarkEnd w:id="86"/>
      <w:bookmarkEnd w:id="87"/>
      <w:bookmarkEnd w:id="88"/>
    </w:p>
    <w:p w14:paraId="0BE0103A">
      <w:pPr>
        <w:pStyle w:val="3"/>
      </w:pPr>
      <w:r>
        <w:rPr>
          <w:rFonts w:hint="eastAsia"/>
        </w:rPr>
        <w:t>一、评审程序和评审方法</w:t>
      </w:r>
    </w:p>
    <w:p w14:paraId="654082DB">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.资格审查</w:t>
      </w:r>
    </w:p>
    <w:p w14:paraId="4CAB1C6F">
      <w:pPr>
        <w:snapToGrid w:val="0"/>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.1</w:t>
      </w:r>
      <w:r>
        <w:rPr>
          <w:rFonts w:hint="eastAsia" w:ascii="宋体" w:hAnsi="宋体"/>
          <w:szCs w:val="21"/>
        </w:rPr>
        <w:t>响应文件开启后，磋商小组依法对供应商的资格证明文件进行审查。</w:t>
      </w:r>
    </w:p>
    <w:p w14:paraId="054983A5">
      <w:pPr>
        <w:snapToGrid w:val="0"/>
        <w:spacing w:line="360" w:lineRule="auto"/>
        <w:rPr>
          <w:rFonts w:ascii="宋体" w:hAnsi="宋体" w:cs="宋体"/>
          <w:szCs w:val="21"/>
        </w:rPr>
      </w:pPr>
      <w:r>
        <w:rPr>
          <w:rFonts w:hint="eastAsia" w:ascii="宋体" w:hAnsi="宋体" w:cs="宋体"/>
          <w:szCs w:val="21"/>
        </w:rPr>
        <w:t>注：采购人或者采购代理机构在截标前一天或资格审查结束前，对供应商进行信用查询。</w:t>
      </w:r>
    </w:p>
    <w:p w14:paraId="797739C8">
      <w:pPr>
        <w:snapToGrid w:val="0"/>
        <w:spacing w:line="360" w:lineRule="auto"/>
        <w:jc w:val="left"/>
        <w:rPr>
          <w:rFonts w:ascii="宋体" w:hAnsi="宋体" w:cs="宋体"/>
          <w:szCs w:val="21"/>
        </w:rPr>
      </w:pPr>
      <w:r>
        <w:rPr>
          <w:rFonts w:hint="eastAsia" w:ascii="宋体" w:hAnsi="宋体" w:cs="宋体"/>
          <w:szCs w:val="21"/>
        </w:rPr>
        <w:t>（1）查询渠道：“信用中国”网站(www.creditchina.gov.cn) 、中国政府采购网(www.ccgp.gov.cn)。</w:t>
      </w:r>
    </w:p>
    <w:p w14:paraId="1CD8FCED">
      <w:pPr>
        <w:snapToGrid w:val="0"/>
        <w:spacing w:line="360" w:lineRule="auto"/>
        <w:rPr>
          <w:rFonts w:ascii="宋体" w:hAnsi="宋体" w:cs="宋体"/>
          <w:szCs w:val="21"/>
        </w:rPr>
      </w:pPr>
      <w:r>
        <w:rPr>
          <w:rFonts w:hint="eastAsia" w:ascii="宋体" w:hAnsi="宋体" w:cs="宋体"/>
          <w:szCs w:val="21"/>
        </w:rPr>
        <w:t>（2）信用查询截止时点：截标前一天或资格审查结束前。</w:t>
      </w:r>
    </w:p>
    <w:p w14:paraId="34C2FF99">
      <w:pPr>
        <w:snapToGrid w:val="0"/>
        <w:spacing w:line="360" w:lineRule="auto"/>
        <w:rPr>
          <w:rFonts w:ascii="宋体" w:hAnsi="宋体" w:cs="宋体"/>
          <w:szCs w:val="21"/>
        </w:rPr>
      </w:pPr>
      <w:r>
        <w:rPr>
          <w:rFonts w:hint="eastAsia" w:ascii="宋体" w:hAnsi="宋体" w:cs="宋体"/>
          <w:szCs w:val="21"/>
        </w:rPr>
        <w:t>查询记录和证据留存方式：在查询网站中直接打印查询记录，打印材料作为评审资料保存。</w:t>
      </w:r>
    </w:p>
    <w:p w14:paraId="7D733241">
      <w:pPr>
        <w:spacing w:line="360" w:lineRule="auto"/>
        <w:rPr>
          <w:rFonts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5DF245E">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.2资格审查标准为本磋商文件中载明对供应商资格要求的条件。资格审查采用合格制，凡符合磋商文件规定的供应商资格要求的响应文件均通过资格审查。</w:t>
      </w:r>
    </w:p>
    <w:p w14:paraId="09DD2F50">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.3供应商有下列情形之一的，资格审查不通过，其响应文件按无效响应处理：</w:t>
      </w:r>
    </w:p>
    <w:p w14:paraId="14C45AB8">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）不具备磋商文件中规定的资格要求的；</w:t>
      </w:r>
    </w:p>
    <w:p w14:paraId="29017529">
      <w:pPr>
        <w:spacing w:line="360" w:lineRule="auto"/>
        <w:ind w:firstLine="420" w:firstLineChars="200"/>
        <w:rPr>
          <w:rFonts w:ascii="宋体" w:hAnsi="宋体" w:cs="宋体"/>
          <w:szCs w:val="21"/>
        </w:rPr>
      </w:pPr>
      <w:r>
        <w:rPr>
          <w:rFonts w:hint="eastAsia" w:ascii="宋体" w:hAnsi="宋体" w:cs="宋体"/>
          <w:szCs w:val="21"/>
        </w:rPr>
        <w:t>（2）未按磋商文件规定的方式获取本磋商文件的供应商；</w:t>
      </w:r>
    </w:p>
    <w:p w14:paraId="7900562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）响应文件的资格证明文件缺少任一项“供应商须知前附表”资格证明文件规定的“必须提供”的文件资料的；</w:t>
      </w:r>
    </w:p>
    <w:p w14:paraId="11F1ABDC">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）响应文件中的资格证明文件出现任一项不符合“供应商须知前附表”资格证明文件规定的“必须提供”的文件资料要求或者无效的；</w:t>
      </w:r>
    </w:p>
    <w:p w14:paraId="282D6350">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7C7DD224">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.4通过资格审查的合格供应商不足3家的，不得进入符合性审查环节，</w:t>
      </w:r>
      <w:r>
        <w:rPr>
          <w:rFonts w:hint="eastAsia" w:ascii="宋体" w:hAnsi="宋体"/>
          <w:szCs w:val="21"/>
        </w:rPr>
        <w:t>采购人或者采购代理机构应当重新开展采购活动。</w:t>
      </w:r>
    </w:p>
    <w:p w14:paraId="518702C7">
      <w:pPr>
        <w:spacing w:line="360" w:lineRule="auto"/>
        <w:ind w:firstLine="482" w:firstLineChars="200"/>
        <w:rPr>
          <w:rFonts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.符合性审查</w:t>
      </w:r>
    </w:p>
    <w:p w14:paraId="0B5A3680">
      <w:pPr>
        <w:spacing w:line="360" w:lineRule="auto"/>
        <w:ind w:firstLine="420" w:firstLineChars="200"/>
        <w:rPr>
          <w:rFonts w:ascii="宋体" w:hAnsi="宋体" w:cs="宋体"/>
          <w:szCs w:val="21"/>
        </w:rPr>
      </w:pPr>
      <w:bookmarkStart w:id="89" w:name="_Hlk42528882"/>
      <w:r>
        <w:rPr>
          <w:rFonts w:ascii="宋体" w:hAnsi="宋体" w:cs="宋体"/>
          <w:szCs w:val="21"/>
        </w:rPr>
        <w:t>2.1</w:t>
      </w:r>
      <w:r>
        <w:rPr>
          <w:rFonts w:hint="eastAsia" w:ascii="宋体" w:hAnsi="宋体" w:cs="宋体"/>
          <w:szCs w:val="21"/>
        </w:rPr>
        <w:t>由磋商小组对</w:t>
      </w:r>
      <w:r>
        <w:rPr>
          <w:rFonts w:hint="eastAsia" w:ascii="宋体" w:hAnsi="宋体"/>
          <w:szCs w:val="21"/>
        </w:rPr>
        <w:t>通过资格审查的合格供应商</w:t>
      </w:r>
      <w:r>
        <w:rPr>
          <w:rFonts w:hint="eastAsia" w:ascii="宋体" w:hAnsi="宋体" w:cs="宋体"/>
          <w:szCs w:val="21"/>
        </w:rPr>
        <w:t>的响应文件的竞标报价、商务、技术等实质性要求进行符合性审查，以确定其是否满足磋商文件的实质性要求。</w:t>
      </w:r>
    </w:p>
    <w:bookmarkEnd w:id="89"/>
    <w:p w14:paraId="2C42D7B4">
      <w:pPr>
        <w:spacing w:line="360" w:lineRule="auto"/>
        <w:ind w:firstLine="420" w:firstLineChars="200"/>
        <w:rPr>
          <w:rFonts w:ascii="宋体" w:hAnsi="宋体" w:cs="宋体"/>
          <w:szCs w:val="21"/>
        </w:rPr>
      </w:pPr>
      <w:r>
        <w:rPr>
          <w:rFonts w:ascii="宋体" w:hAnsi="宋体" w:cs="宋体"/>
          <w:szCs w:val="21"/>
        </w:rPr>
        <w:t>2.2</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AD93874">
      <w:pPr>
        <w:spacing w:line="360" w:lineRule="auto"/>
        <w:ind w:firstLine="420" w:firstLineChars="200"/>
        <w:rPr>
          <w:rFonts w:ascii="宋体" w:hAnsi="宋体" w:cs="宋体"/>
          <w:spacing w:val="-6"/>
          <w:szCs w:val="21"/>
        </w:rPr>
      </w:pPr>
      <w:r>
        <w:rPr>
          <w:rFonts w:ascii="宋体" w:hAnsi="宋体" w:cs="宋体"/>
          <w:szCs w:val="21"/>
        </w:rPr>
        <w:t>2</w:t>
      </w:r>
      <w:r>
        <w:rPr>
          <w:rFonts w:hint="eastAsia" w:ascii="宋体" w:hAnsi="宋体" w:cs="宋体"/>
          <w:szCs w:val="21"/>
        </w:rPr>
        <w:t>.</w:t>
      </w:r>
      <w:r>
        <w:rPr>
          <w:rFonts w:ascii="宋体" w:hAnsi="宋体" w:cs="宋体"/>
          <w:szCs w:val="21"/>
        </w:rPr>
        <w:t>3</w:t>
      </w:r>
      <w:r>
        <w:rPr>
          <w:rFonts w:hint="eastAsia" w:ascii="宋体" w:hAnsi="宋体" w:cs="宋体"/>
          <w:szCs w:val="21"/>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szCs w:val="21"/>
        </w:rPr>
        <w:t>若委托代理人不是响应文件中授权的委托代理人时，必须同时出示有效的法定代表人授权委托书原件</w:t>
      </w:r>
      <w:r>
        <w:rPr>
          <w:rFonts w:hint="eastAsia" w:ascii="宋体" w:hAnsi="宋体" w:cs="宋体"/>
          <w:spacing w:val="-6"/>
          <w:szCs w:val="21"/>
        </w:rPr>
        <w:t>。供应商为自然人的，必须由本人签字并附身份证明。</w:t>
      </w:r>
    </w:p>
    <w:p w14:paraId="70B1465A">
      <w:pPr>
        <w:spacing w:line="360" w:lineRule="auto"/>
        <w:ind w:firstLine="396" w:firstLineChars="200"/>
        <w:rPr>
          <w:rFonts w:ascii="宋体" w:hAnsi="宋体" w:cs="宋体"/>
          <w:szCs w:val="21"/>
        </w:rPr>
      </w:pPr>
      <w:r>
        <w:rPr>
          <w:rFonts w:ascii="宋体" w:hAnsi="宋体" w:cs="宋体"/>
          <w:spacing w:val="-6"/>
          <w:szCs w:val="21"/>
        </w:rPr>
        <w:t>2.4</w:t>
      </w:r>
      <w:r>
        <w:rPr>
          <w:rFonts w:hint="eastAsia" w:ascii="宋体" w:hAnsi="宋体" w:cs="宋体"/>
          <w:szCs w:val="21"/>
        </w:rPr>
        <w:t xml:space="preserve">首次响应文件报价出现前后不一致的，按照下列规定修正： </w:t>
      </w:r>
    </w:p>
    <w:p w14:paraId="0B39D66F">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076CB9C6">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2F44BD3D">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438C2C4F">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67161BD6">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7F8015C6">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33AC1207">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05BAF042">
      <w:pPr>
        <w:spacing w:line="360" w:lineRule="auto"/>
        <w:ind w:firstLine="420" w:firstLineChars="200"/>
        <w:rPr>
          <w:rFonts w:ascii="宋体" w:hAnsi="宋体" w:cs="宋体"/>
          <w:szCs w:val="21"/>
        </w:rPr>
      </w:pPr>
      <w:r>
        <w:rPr>
          <w:rFonts w:hint="eastAsia" w:ascii="宋体" w:hAnsi="宋体" w:cs="宋体"/>
          <w:szCs w:val="21"/>
        </w:rPr>
        <w:t>（1）商务技术评审</w:t>
      </w:r>
    </w:p>
    <w:p w14:paraId="60B3512D">
      <w:pPr>
        <w:spacing w:line="360" w:lineRule="auto"/>
        <w:ind w:firstLine="420" w:firstLineChars="200"/>
        <w:rPr>
          <w:rFonts w:ascii="宋体" w:hAnsi="宋体" w:cs="宋体"/>
          <w:szCs w:val="21"/>
        </w:rPr>
      </w:pPr>
      <w:r>
        <w:rPr>
          <w:rFonts w:hint="eastAsia" w:ascii="宋体" w:hAnsi="宋体" w:cs="宋体"/>
          <w:szCs w:val="21"/>
        </w:rPr>
        <w:t>1）提供响应文件正、副本数量不足；</w:t>
      </w:r>
    </w:p>
    <w:p w14:paraId="3CD24361">
      <w:pPr>
        <w:spacing w:line="360" w:lineRule="auto"/>
        <w:ind w:firstLine="420" w:firstLineChars="200"/>
        <w:rPr>
          <w:rFonts w:ascii="宋体" w:hAnsi="宋体" w:cs="宋体"/>
          <w:szCs w:val="21"/>
        </w:rPr>
      </w:pPr>
      <w:r>
        <w:rPr>
          <w:rFonts w:hint="eastAsia" w:ascii="宋体" w:hAnsi="宋体" w:cs="宋体"/>
          <w:szCs w:val="21"/>
        </w:rPr>
        <w:t>2）响应文件未按磋商文件要求签署、盖章；</w:t>
      </w:r>
    </w:p>
    <w:p w14:paraId="188D6082">
      <w:pPr>
        <w:spacing w:line="360" w:lineRule="auto"/>
        <w:ind w:firstLine="420" w:firstLineChars="200"/>
        <w:rPr>
          <w:rFonts w:ascii="宋体" w:hAnsi="宋体" w:cs="宋体"/>
          <w:szCs w:val="21"/>
        </w:rPr>
      </w:pPr>
      <w:r>
        <w:rPr>
          <w:rFonts w:hint="eastAsia" w:ascii="宋体" w:hAnsi="宋体" w:cs="宋体"/>
          <w:szCs w:val="21"/>
        </w:rPr>
        <w:t xml:space="preserve">3）委托代理人未能出具有效身份证明或者出具的身份证明与授权委托书中的信息不符； </w:t>
      </w:r>
    </w:p>
    <w:p w14:paraId="7E2FF60A">
      <w:pPr>
        <w:spacing w:line="360" w:lineRule="auto"/>
        <w:ind w:firstLine="420" w:firstLineChars="200"/>
        <w:rPr>
          <w:rFonts w:ascii="宋体" w:hAnsi="宋体" w:cs="宋体"/>
          <w:szCs w:val="21"/>
        </w:rPr>
      </w:pPr>
      <w:r>
        <w:rPr>
          <w:rFonts w:hint="eastAsia" w:ascii="宋体" w:hAnsi="宋体" w:cs="宋体"/>
          <w:szCs w:val="21"/>
        </w:rPr>
        <w:t>4）提交的磋商保证金无效的或者未按照磋商文件的规定提交磋商保证金；</w:t>
      </w:r>
    </w:p>
    <w:p w14:paraId="7A56EE55">
      <w:pPr>
        <w:spacing w:line="360" w:lineRule="auto"/>
        <w:ind w:firstLine="420" w:firstLineChars="200"/>
        <w:rPr>
          <w:rFonts w:ascii="宋体" w:hAnsi="宋体" w:cs="宋体"/>
          <w:szCs w:val="21"/>
        </w:rPr>
      </w:pPr>
      <w:r>
        <w:rPr>
          <w:rFonts w:hint="eastAsia" w:ascii="宋体" w:hAnsi="宋体" w:cs="宋体"/>
          <w:szCs w:val="21"/>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2E76BCCD">
      <w:pPr>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）商务条款成交“▲”的条款发生负偏离的或者允许负偏离的条款数超过“供应商须知前附表”规定项数的或者标明实质性的要求发生负偏离；</w:t>
      </w:r>
    </w:p>
    <w:p w14:paraId="5340115F">
      <w:pPr>
        <w:spacing w:line="360" w:lineRule="auto"/>
        <w:ind w:firstLine="420" w:firstLineChars="200"/>
        <w:rPr>
          <w:rFonts w:ascii="宋体" w:hAnsi="宋体" w:cs="宋体"/>
          <w:szCs w:val="21"/>
        </w:rPr>
      </w:pPr>
      <w:r>
        <w:rPr>
          <w:rFonts w:ascii="宋体" w:hAnsi="宋体" w:cs="宋体"/>
          <w:szCs w:val="21"/>
        </w:rPr>
        <w:t>7</w:t>
      </w:r>
      <w:r>
        <w:rPr>
          <w:rFonts w:hint="eastAsia" w:ascii="宋体" w:hAnsi="宋体" w:cs="宋体"/>
          <w:szCs w:val="21"/>
        </w:rPr>
        <w:t>）未对竞标有效期作出响应或者响应文件承诺的竞标有效期不满足磋商文件要求；</w:t>
      </w:r>
    </w:p>
    <w:p w14:paraId="6DA45B07">
      <w:pPr>
        <w:spacing w:line="360" w:lineRule="auto"/>
        <w:ind w:firstLine="420" w:firstLineChars="200"/>
        <w:rPr>
          <w:rFonts w:ascii="宋体" w:hAnsi="宋体" w:cs="宋体"/>
          <w:szCs w:val="21"/>
        </w:rPr>
      </w:pPr>
      <w:r>
        <w:rPr>
          <w:rFonts w:ascii="宋体" w:hAnsi="宋体" w:cs="宋体"/>
          <w:szCs w:val="21"/>
        </w:rPr>
        <w:t>8</w:t>
      </w:r>
      <w:r>
        <w:rPr>
          <w:rFonts w:hint="eastAsia" w:ascii="宋体" w:hAnsi="宋体" w:cs="宋体"/>
          <w:szCs w:val="21"/>
        </w:rPr>
        <w:t>）响应文件的实质性内容未使用中文表述、使用计量单位不符合磋商文件要求；</w:t>
      </w:r>
    </w:p>
    <w:p w14:paraId="0E92A92F">
      <w:pPr>
        <w:spacing w:line="360" w:lineRule="auto"/>
        <w:ind w:firstLine="420" w:firstLineChars="200"/>
        <w:rPr>
          <w:rFonts w:ascii="宋体" w:hAnsi="宋体" w:cs="宋体"/>
          <w:szCs w:val="21"/>
        </w:rPr>
      </w:pPr>
      <w:r>
        <w:rPr>
          <w:rFonts w:ascii="宋体" w:hAnsi="宋体" w:cs="宋体"/>
          <w:szCs w:val="21"/>
        </w:rPr>
        <w:t>9</w:t>
      </w:r>
      <w:r>
        <w:rPr>
          <w:rFonts w:hint="eastAsia" w:ascii="宋体" w:hAnsi="宋体" w:cs="宋体"/>
          <w:szCs w:val="21"/>
        </w:rPr>
        <w:t>）响应文件中的文件资料因填写不齐全或者内容虚假或者出现其他情形而导致被磋商小组认定无效；</w:t>
      </w:r>
    </w:p>
    <w:p w14:paraId="3DA49C64">
      <w:pPr>
        <w:spacing w:line="360" w:lineRule="auto"/>
        <w:ind w:firstLine="420" w:firstLineChars="200"/>
        <w:rPr>
          <w:rFonts w:ascii="宋体" w:hAnsi="宋体" w:cs="宋体"/>
          <w:szCs w:val="21"/>
        </w:rPr>
      </w:pPr>
      <w:r>
        <w:rPr>
          <w:rFonts w:ascii="宋体" w:hAnsi="宋体" w:cs="宋体"/>
          <w:szCs w:val="21"/>
        </w:rPr>
        <w:t>10</w:t>
      </w:r>
      <w:r>
        <w:rPr>
          <w:rFonts w:hint="eastAsia" w:ascii="宋体" w:hAnsi="宋体" w:cs="宋体"/>
          <w:szCs w:val="21"/>
        </w:rPr>
        <w:t>）响应文件含有采购人不能接受的附加条件；</w:t>
      </w:r>
    </w:p>
    <w:p w14:paraId="18DBE6D5">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）属于“供应商须知正文”第7.</w:t>
      </w:r>
      <w:r>
        <w:rPr>
          <w:rFonts w:ascii="宋体" w:hAnsi="宋体" w:cs="宋体"/>
          <w:szCs w:val="21"/>
        </w:rPr>
        <w:t>5</w:t>
      </w:r>
      <w:r>
        <w:rPr>
          <w:rFonts w:hint="eastAsia" w:ascii="宋体" w:hAnsi="宋体" w:cs="宋体"/>
          <w:szCs w:val="21"/>
        </w:rPr>
        <w:t>条情形；</w:t>
      </w:r>
    </w:p>
    <w:p w14:paraId="3F44D2EF">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2）明显不满足磋商文件要求的技术规格、安全、质量标准，或者与磋商文件成交“▲”的技术需求或者标明实质性的要求发生负偏离；</w:t>
      </w:r>
    </w:p>
    <w:p w14:paraId="2BE8ED85">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）技术需求允许负偏离的条款数超过“供应商须知前附表”规定项数；</w:t>
      </w:r>
    </w:p>
    <w:p w14:paraId="5874976F">
      <w:pPr>
        <w:spacing w:line="360" w:lineRule="auto"/>
        <w:ind w:firstLine="420" w:firstLineChars="200"/>
        <w:rPr>
          <w:rFonts w:ascii="宋体" w:hAnsi="宋体" w:cs="宋体"/>
          <w:szCs w:val="21"/>
        </w:rPr>
      </w:pPr>
      <w:r>
        <w:rPr>
          <w:rFonts w:ascii="宋体" w:hAnsi="宋体" w:cs="宋体"/>
          <w:szCs w:val="21"/>
        </w:rPr>
        <w:t>14</w:t>
      </w:r>
      <w:r>
        <w:rPr>
          <w:rFonts w:hint="eastAsia" w:ascii="宋体" w:hAnsi="宋体" w:cs="宋体"/>
          <w:szCs w:val="21"/>
        </w:rPr>
        <w:t>）虚假竞标，或者出现其他情形而导致被磋商小组认定无效；</w:t>
      </w:r>
    </w:p>
    <w:p w14:paraId="59F89DC4">
      <w:pPr>
        <w:spacing w:line="360" w:lineRule="auto"/>
        <w:ind w:firstLine="420" w:firstLineChars="200"/>
        <w:rPr>
          <w:rFonts w:ascii="宋体" w:hAnsi="宋体" w:cs="宋体"/>
          <w:szCs w:val="21"/>
        </w:rPr>
      </w:pPr>
      <w:r>
        <w:rPr>
          <w:rFonts w:ascii="宋体" w:hAnsi="宋体" w:cs="宋体"/>
          <w:szCs w:val="21"/>
        </w:rPr>
        <w:t>15</w:t>
      </w:r>
      <w:r>
        <w:rPr>
          <w:rFonts w:hint="eastAsia" w:ascii="宋体" w:hAnsi="宋体" w:cs="宋体"/>
          <w:szCs w:val="21"/>
        </w:rPr>
        <w:t>）竞标技术方案不明确，磋商文件未允许</w:t>
      </w:r>
      <w:r>
        <w:rPr>
          <w:rFonts w:hint="eastAsia" w:ascii="宋体" w:hAnsi="宋体"/>
          <w:szCs w:val="21"/>
        </w:rPr>
        <w:t>但响应文件中</w:t>
      </w:r>
      <w:r>
        <w:rPr>
          <w:rFonts w:hint="eastAsia" w:ascii="宋体" w:hAnsi="宋体" w:cs="宋体"/>
          <w:szCs w:val="21"/>
        </w:rPr>
        <w:t>存在一个或者一个以上备选（替代）竞标方案；</w:t>
      </w:r>
    </w:p>
    <w:p w14:paraId="09EFC155">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6）未响应磋商文件实质性要求；</w:t>
      </w:r>
    </w:p>
    <w:p w14:paraId="6923E6D6">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7</w:t>
      </w:r>
      <w:r>
        <w:rPr>
          <w:rFonts w:hint="eastAsia" w:ascii="宋体" w:hAnsi="宋体" w:cs="宋体"/>
          <w:szCs w:val="21"/>
        </w:rPr>
        <w:t>）法律、法规和磋商文件规定的其他无效情形。</w:t>
      </w:r>
    </w:p>
    <w:p w14:paraId="04DF3274">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）报价评审</w:t>
      </w:r>
    </w:p>
    <w:p w14:paraId="08AA08FD">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 xml:space="preserve"> </w:t>
      </w:r>
      <w:r>
        <w:rPr>
          <w:rFonts w:hint="eastAsia" w:ascii="宋体" w:hAnsi="宋体" w:cs="宋体"/>
          <w:szCs w:val="21"/>
        </w:rPr>
        <w:t>响应文件未提供“供应商须知前附表” 报价商务技术文件中规定的“竞标报价表”；</w:t>
      </w:r>
    </w:p>
    <w:p w14:paraId="06958AEC">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w:t>
      </w:r>
    </w:p>
    <w:p w14:paraId="0C91D57F">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EB72B20">
      <w:pPr>
        <w:spacing w:line="360" w:lineRule="auto"/>
        <w:ind w:firstLine="420" w:firstLineChars="200"/>
        <w:rPr>
          <w:rFonts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90" w:name="_Hlk42596405"/>
      <w:r>
        <w:rPr>
          <w:rFonts w:hint="eastAsia" w:ascii="宋体" w:hAnsi="宋体" w:cs="宋体"/>
          <w:szCs w:val="21"/>
        </w:rPr>
        <w:t>竞标报价（包含首次报价、最后报价）</w:t>
      </w:r>
      <w:bookmarkEnd w:id="90"/>
      <w:bookmarkStart w:id="91" w:name="_Hlk42596276"/>
      <w:r>
        <w:rPr>
          <w:rFonts w:hint="eastAsia" w:ascii="宋体" w:hAnsi="宋体" w:cs="宋体"/>
          <w:szCs w:val="21"/>
        </w:rPr>
        <w:t>超过磋商文件分项采购预算金额或者最高限价的</w:t>
      </w:r>
      <w:bookmarkEnd w:id="91"/>
      <w:r>
        <w:rPr>
          <w:rFonts w:hint="eastAsia" w:ascii="宋体" w:hAnsi="宋体" w:cs="宋体"/>
          <w:szCs w:val="21"/>
        </w:rPr>
        <w:t>（如本项目公布了最高限价）；</w:t>
      </w:r>
    </w:p>
    <w:p w14:paraId="73781261">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1E2EB0B7">
      <w:pPr>
        <w:spacing w:line="360" w:lineRule="auto"/>
        <w:ind w:firstLine="420" w:firstLineChars="200"/>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14:paraId="5D57EA3D">
      <w:pPr>
        <w:spacing w:line="360" w:lineRule="auto"/>
        <w:ind w:firstLine="420" w:firstLineChars="200"/>
        <w:rPr>
          <w:rFonts w:ascii="宋体" w:hAnsi="宋体" w:cs="宋体"/>
          <w:szCs w:val="21"/>
        </w:rPr>
      </w:pPr>
      <w:r>
        <w:rPr>
          <w:rFonts w:ascii="宋体" w:hAnsi="宋体" w:cs="宋体"/>
          <w:szCs w:val="21"/>
        </w:rPr>
        <w:t>2.6</w:t>
      </w:r>
      <w:r>
        <w:rPr>
          <w:rFonts w:hint="eastAsia" w:ascii="宋体" w:hAnsi="宋体" w:cs="宋体"/>
          <w:szCs w:val="21"/>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58446D55">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szCs w:val="21"/>
        </w:rPr>
        <w:t>通过符合性审查的合格供应商不足3家的，不得进入磋商环节，采购人或者采购代理机构应当重新开展采购活动。</w:t>
      </w:r>
    </w:p>
    <w:p w14:paraId="36F576B2">
      <w:pPr>
        <w:spacing w:line="360" w:lineRule="auto"/>
        <w:ind w:firstLine="482" w:firstLineChars="200"/>
        <w:rPr>
          <w:rFonts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w:t>
      </w:r>
      <w:r>
        <w:rPr>
          <w:rFonts w:hint="eastAsia" w:ascii="黑体" w:hAnsi="黑体" w:eastAsia="黑体" w:cs="宋体"/>
          <w:b/>
          <w:bCs/>
          <w:sz w:val="24"/>
        </w:rPr>
        <w:t>磋商</w:t>
      </w:r>
    </w:p>
    <w:p w14:paraId="66C2C3B3">
      <w:pPr>
        <w:spacing w:line="360" w:lineRule="auto"/>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.磋商的程序</w:t>
      </w:r>
    </w:p>
    <w:p w14:paraId="2E63F57E">
      <w:pPr>
        <w:spacing w:line="360" w:lineRule="auto"/>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.1</w:t>
      </w:r>
      <w:r>
        <w:rPr>
          <w:rFonts w:hint="eastAsia" w:ascii="宋体" w:hAnsi="宋体" w:cs="宋体"/>
          <w:kern w:val="0"/>
          <w:szCs w:val="21"/>
        </w:rPr>
        <w:t>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8B97763">
      <w:pPr>
        <w:spacing w:line="360" w:lineRule="auto"/>
        <w:ind w:firstLine="420" w:firstLineChars="200"/>
        <w:rPr>
          <w:rFonts w:ascii="宋体" w:hAnsi="宋体" w:cs="宋体"/>
          <w:szCs w:val="21"/>
        </w:rPr>
      </w:pPr>
      <w:r>
        <w:rPr>
          <w:rFonts w:ascii="宋体" w:hAnsi="宋体" w:cs="宋体"/>
          <w:szCs w:val="21"/>
        </w:rPr>
        <w:t>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68BAD51">
      <w:pPr>
        <w:spacing w:line="360" w:lineRule="auto"/>
        <w:ind w:firstLine="420" w:firstLineChars="200"/>
        <w:rPr>
          <w:rFonts w:ascii="宋体" w:hAnsi="宋体" w:cs="宋体"/>
          <w:szCs w:val="21"/>
        </w:rPr>
      </w:pPr>
      <w:r>
        <w:rPr>
          <w:rFonts w:ascii="宋体" w:hAnsi="宋体" w:cs="宋体"/>
          <w:szCs w:val="21"/>
        </w:rPr>
        <w:t>3.3</w:t>
      </w:r>
      <w:r>
        <w:rPr>
          <w:rFonts w:hint="eastAsia" w:ascii="宋体" w:hAnsi="宋体" w:cs="宋体"/>
          <w:szCs w:val="21"/>
        </w:rPr>
        <w:t>对磋商文件作出的实质性变动是磋商文件的有效组成部分，由磋商小组及时以书面形式同时通知所有参加磋商的供应商。</w:t>
      </w:r>
    </w:p>
    <w:p w14:paraId="6B41CE12">
      <w:pPr>
        <w:spacing w:line="360" w:lineRule="auto"/>
        <w:ind w:firstLine="420" w:firstLineChars="200"/>
        <w:rPr>
          <w:rFonts w:ascii="宋体" w:hAnsi="宋体" w:cs="宋体"/>
          <w:szCs w:val="21"/>
        </w:rPr>
      </w:pPr>
      <w:r>
        <w:rPr>
          <w:rFonts w:ascii="宋体" w:hAnsi="宋体" w:cs="宋体"/>
          <w:szCs w:val="21"/>
        </w:rPr>
        <w:t>3.4</w:t>
      </w:r>
      <w:r>
        <w:rPr>
          <w:rFonts w:hint="eastAsia" w:ascii="宋体" w:hAnsi="宋体" w:cs="宋体"/>
          <w:szCs w:val="21"/>
        </w:rPr>
        <w:t>供应商必须按照磋商文件的变动情况和磋商小组的要求重新提交响应文件，并由其法定代表人或者授权代表签字或者加盖公章。由委托代理人签字的，</w:t>
      </w:r>
      <w:r>
        <w:rPr>
          <w:rFonts w:hint="eastAsia" w:ascii="宋体" w:hAnsi="宋体" w:cs="宋体"/>
          <w:bCs/>
          <w:szCs w:val="21"/>
        </w:rPr>
        <w:t>若委托代理人不是响应文件中授权的委托代理人时，必须同时出示有效的法定代表人授权委托书原件</w:t>
      </w:r>
      <w:r>
        <w:rPr>
          <w:rFonts w:hint="eastAsia" w:ascii="宋体" w:hAnsi="宋体" w:cs="宋体"/>
          <w:szCs w:val="21"/>
        </w:rPr>
        <w:t>。供应商为自然人的，必须由本人签字并附身份证明。参加磋商的供应商未在规定时间内重新提交响应文件的，视同退出磋商。</w:t>
      </w:r>
    </w:p>
    <w:p w14:paraId="0446059C">
      <w:pPr>
        <w:spacing w:line="360" w:lineRule="auto"/>
        <w:ind w:firstLine="420" w:firstLineChars="200"/>
        <w:rPr>
          <w:rFonts w:ascii="宋体" w:hAnsi="宋体" w:cs="宋体"/>
          <w:szCs w:val="21"/>
        </w:rPr>
      </w:pPr>
      <w:r>
        <w:rPr>
          <w:rFonts w:ascii="宋体" w:hAnsi="宋体" w:cs="宋体"/>
          <w:szCs w:val="21"/>
        </w:rPr>
        <w:t>3.5</w:t>
      </w:r>
      <w:r>
        <w:rPr>
          <w:rFonts w:hint="eastAsia" w:ascii="宋体" w:hAnsi="宋体" w:cs="宋体"/>
          <w:szCs w:val="21"/>
        </w:rPr>
        <w:t>磋商中，</w:t>
      </w:r>
      <w:r>
        <w:rPr>
          <w:rFonts w:hint="eastAsia" w:ascii="宋体" w:hAnsi="宋体" w:cs="宋体"/>
          <w:spacing w:val="-6"/>
          <w:szCs w:val="21"/>
        </w:rPr>
        <w:t>磋商的任何一方不得透露与磋商有关的其他供应商的技术资料、价格和其他信息。</w:t>
      </w:r>
    </w:p>
    <w:p w14:paraId="7037B0F0">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3.6</w:t>
      </w:r>
      <w:r>
        <w:rPr>
          <w:rFonts w:hint="eastAsia" w:ascii="宋体" w:hAnsi="宋体" w:cs="宋体"/>
          <w:szCs w:val="21"/>
        </w:rPr>
        <w:t>采购代理机构对磋商过程和重要磋商内容进行记录，磋商双方在记录上签字确认。</w:t>
      </w:r>
    </w:p>
    <w:p w14:paraId="7AC6BA6A">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3.7</w:t>
      </w:r>
      <w:r>
        <w:rPr>
          <w:rFonts w:hint="eastAsia" w:ascii="宋体" w:hAnsi="宋体" w:cs="宋体"/>
          <w:szCs w:val="21"/>
        </w:rPr>
        <w:t>磋商过程中重新提交的响应文件，供应商可以在开启前补充、修改。</w:t>
      </w:r>
    </w:p>
    <w:p w14:paraId="0708E834">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8</w:t>
      </w:r>
      <w: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E5DA55F">
      <w:pPr>
        <w:tabs>
          <w:tab w:val="left" w:pos="2835"/>
        </w:tabs>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9</w:t>
      </w:r>
      <w:r>
        <w:rPr>
          <w:rFonts w:ascii="宋体" w:hAnsi="宋体" w:cs="宋体"/>
          <w:szCs w:val="21"/>
        </w:rPr>
        <w:t>除</w:t>
      </w:r>
      <w:r>
        <w:t>本章第3.</w:t>
      </w:r>
      <w:r>
        <w:rPr>
          <w:rFonts w:hint="eastAsia"/>
        </w:rPr>
        <w:t>8</w:t>
      </w:r>
      <w:r>
        <w:t>条情形</w:t>
      </w:r>
      <w:r>
        <w:rPr>
          <w:rFonts w:hint="eastAsia"/>
        </w:rPr>
        <w:t>外，</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14:paraId="3DB5C02E">
      <w:pPr>
        <w:spacing w:line="360" w:lineRule="auto"/>
        <w:ind w:firstLine="482" w:firstLineChars="200"/>
        <w:rPr>
          <w:rFonts w:ascii="宋体" w:hAnsi="宋体" w:cs="宋体"/>
          <w:szCs w:val="21"/>
        </w:rPr>
      </w:pPr>
      <w:r>
        <w:rPr>
          <w:rFonts w:ascii="黑体" w:hAnsi="黑体" w:eastAsia="黑体" w:cs="宋体"/>
          <w:b/>
          <w:bCs/>
          <w:sz w:val="24"/>
        </w:rPr>
        <w:t>4.</w:t>
      </w:r>
      <w:r>
        <w:rPr>
          <w:rFonts w:hint="eastAsia" w:ascii="黑体" w:hAnsi="黑体" w:eastAsia="黑体" w:cs="宋体"/>
          <w:b/>
          <w:bCs/>
          <w:sz w:val="24"/>
        </w:rPr>
        <w:t xml:space="preserve"> 最后报价</w:t>
      </w:r>
    </w:p>
    <w:p w14:paraId="72017DBF">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磋商文件能够详细列明采购标的的技术、服务要求的，磋商结束后，由磋商小组要求所有继续参加磋商的供应商在规定时间内密封提交最后报价，提交最后报价的供应商不得少于3家，除本章第</w:t>
      </w:r>
      <w:r>
        <w:rPr>
          <w:rFonts w:ascii="宋体" w:hAnsi="宋体" w:cs="宋体"/>
          <w:szCs w:val="21"/>
        </w:rPr>
        <w:t>4.3</w:t>
      </w:r>
      <w:r>
        <w:rPr>
          <w:rFonts w:hint="eastAsia" w:ascii="宋体" w:hAnsi="宋体" w:cs="宋体"/>
          <w:szCs w:val="21"/>
        </w:rPr>
        <w:t>条外，否则必须重新采购。</w:t>
      </w:r>
    </w:p>
    <w:p w14:paraId="671777C6">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C676668">
      <w:pPr>
        <w:spacing w:line="360" w:lineRule="auto"/>
        <w:ind w:firstLine="420" w:firstLineChars="200"/>
        <w:rPr>
          <w:rFonts w:ascii="宋体" w:hAnsi="宋体" w:cs="宋体"/>
          <w:szCs w:val="21"/>
        </w:rPr>
      </w:pPr>
      <w:r>
        <w:rPr>
          <w:rFonts w:ascii="宋体" w:hAnsi="宋体" w:cs="宋体"/>
          <w:szCs w:val="21"/>
        </w:rPr>
        <w:t>4.3</w:t>
      </w:r>
      <w:r>
        <w:rPr>
          <w:rFonts w:hint="eastAsia" w:ascii="宋体" w:hAnsi="宋体" w:cs="宋体"/>
          <w:szCs w:val="21"/>
        </w:rPr>
        <w:t xml:space="preserve"> 最后报价是供应商响应文件的有效组成部分。符合《政府采购竞争性磋商采购人式管理暂行办法》（财库〔2014〕214号）第三条第四项“市场竞争不充分的科研项目，以及需要扶持的科技成果转化项目”的，提交最后报价的供应商可以为2家。</w:t>
      </w:r>
    </w:p>
    <w:p w14:paraId="6DEE3763">
      <w:pPr>
        <w:spacing w:line="360" w:lineRule="auto"/>
        <w:ind w:firstLine="420" w:firstLineChars="200"/>
        <w:rPr>
          <w:rFonts w:ascii="宋体" w:hAnsi="宋体" w:cs="宋体"/>
          <w:szCs w:val="21"/>
        </w:rPr>
      </w:pPr>
      <w:r>
        <w:rPr>
          <w:rFonts w:ascii="宋体" w:hAnsi="宋体" w:cs="宋体"/>
          <w:szCs w:val="21"/>
        </w:rPr>
        <w:t>4.4</w:t>
      </w:r>
      <w:r>
        <w:rPr>
          <w:rFonts w:hint="eastAsia" w:ascii="宋体" w:hAnsi="宋体" w:cs="宋体"/>
          <w:szCs w:val="21"/>
        </w:rPr>
        <w:t>已经提交响应文件的供应商，在提交最后报价之前，可以根据磋商情况退出磋商，退出磋商的供应商的响应文件按无效响应处理。采购人、采购代理机构将退还退出磋商的供应商的保证金。</w:t>
      </w:r>
    </w:p>
    <w:p w14:paraId="58E3D976">
      <w:pPr>
        <w:spacing w:line="360" w:lineRule="auto"/>
        <w:ind w:firstLine="420" w:firstLineChars="200"/>
        <w:rPr>
          <w:rFonts w:ascii="宋体" w:hAnsi="宋体" w:cs="宋体"/>
          <w:szCs w:val="21"/>
        </w:rPr>
      </w:pPr>
      <w:r>
        <w:rPr>
          <w:rFonts w:ascii="宋体" w:hAnsi="宋体" w:cs="宋体"/>
          <w:szCs w:val="21"/>
        </w:rPr>
        <w:t>4.5</w:t>
      </w:r>
      <w:r>
        <w:rPr>
          <w:rFonts w:hint="eastAsia" w:ascii="宋体" w:hAnsi="宋体" w:cs="宋体"/>
          <w:szCs w:val="21"/>
        </w:rPr>
        <w:t>供应商未在规定时间内提交最后报价的，视同退出磋商，其响应文件按无效处理。</w:t>
      </w:r>
    </w:p>
    <w:p w14:paraId="5000BB1B">
      <w:pPr>
        <w:spacing w:line="360" w:lineRule="auto"/>
        <w:ind w:firstLine="420" w:firstLineChars="200"/>
        <w:rPr>
          <w:rFonts w:ascii="宋体" w:hAnsi="宋体" w:cs="宋体"/>
          <w:szCs w:val="21"/>
        </w:rPr>
      </w:pPr>
      <w:r>
        <w:rPr>
          <w:rFonts w:ascii="宋体" w:hAnsi="宋体" w:cs="宋体"/>
          <w:szCs w:val="21"/>
        </w:rPr>
        <w:t>4.6</w:t>
      </w:r>
      <w:r>
        <w:rPr>
          <w:rFonts w:hint="eastAsia" w:ascii="宋体" w:hAnsi="宋体" w:cs="宋体"/>
          <w:szCs w:val="21"/>
        </w:rPr>
        <w:t>磋商小组收齐某一分标最后报价后统一开启，磋商小组对最后报价进行有效性、完整性和响应程度的审查。</w:t>
      </w:r>
    </w:p>
    <w:p w14:paraId="71B0C7B4">
      <w:pPr>
        <w:spacing w:line="360" w:lineRule="auto"/>
        <w:ind w:firstLine="420" w:firstLineChars="200"/>
        <w:rPr>
          <w:rFonts w:ascii="宋体" w:hAnsi="宋体" w:cs="宋体"/>
          <w:szCs w:val="21"/>
        </w:rPr>
      </w:pPr>
      <w:r>
        <w:rPr>
          <w:rFonts w:ascii="宋体" w:hAnsi="宋体" w:cs="宋体"/>
          <w:szCs w:val="21"/>
        </w:rPr>
        <w:t>4.7</w:t>
      </w:r>
      <w:r>
        <w:rPr>
          <w:rFonts w:hint="eastAsia" w:ascii="宋体" w:hAnsi="宋体" w:cs="宋体"/>
          <w:szCs w:val="21"/>
        </w:rPr>
        <w:t>响应文件最后报价出现前后不一致的，按照本章第</w:t>
      </w:r>
      <w:r>
        <w:rPr>
          <w:rFonts w:ascii="宋体" w:hAnsi="宋体" w:cs="宋体"/>
          <w:szCs w:val="21"/>
        </w:rPr>
        <w:t>2.4</w:t>
      </w:r>
      <w:r>
        <w:rPr>
          <w:rFonts w:hint="eastAsia" w:ascii="宋体" w:hAnsi="宋体" w:cs="宋体"/>
          <w:szCs w:val="21"/>
        </w:rPr>
        <w:t xml:space="preserve">条的规定修正。 </w:t>
      </w:r>
    </w:p>
    <w:p w14:paraId="2CC4B475">
      <w:pPr>
        <w:spacing w:line="360" w:lineRule="auto"/>
        <w:ind w:firstLine="420" w:firstLineChars="200"/>
        <w:rPr>
          <w:rFonts w:ascii="宋体" w:hAnsi="宋体" w:cs="宋体"/>
          <w:szCs w:val="21"/>
        </w:rPr>
      </w:pPr>
      <w:r>
        <w:rPr>
          <w:rFonts w:ascii="宋体" w:hAnsi="宋体" w:cs="宋体"/>
          <w:szCs w:val="21"/>
        </w:rPr>
        <w:t>4.8</w:t>
      </w:r>
      <w:r>
        <w:rPr>
          <w:rFonts w:hint="eastAsia" w:ascii="宋体" w:hAnsi="宋体" w:cs="宋体"/>
          <w:szCs w:val="21"/>
        </w:rPr>
        <w:t>修正后的报价出现下列情形的，按无效响应处理：</w:t>
      </w:r>
    </w:p>
    <w:p w14:paraId="526F5D1C">
      <w:pPr>
        <w:spacing w:line="360" w:lineRule="auto"/>
        <w:ind w:firstLine="420" w:firstLineChars="200"/>
        <w:rPr>
          <w:rFonts w:ascii="宋体" w:hAnsi="宋体" w:cs="宋体"/>
          <w:szCs w:val="21"/>
        </w:rPr>
      </w:pPr>
      <w:r>
        <w:rPr>
          <w:rFonts w:hint="eastAsia" w:ascii="宋体" w:hAnsi="宋体" w:cs="宋体"/>
          <w:szCs w:val="21"/>
        </w:rPr>
        <w:t>（1）供应商不确认的；</w:t>
      </w:r>
    </w:p>
    <w:p w14:paraId="7E0E6F3E">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095FBBB7">
      <w:pPr>
        <w:spacing w:line="360" w:lineRule="auto"/>
        <w:ind w:firstLine="420" w:firstLineChars="200"/>
        <w:rPr>
          <w:rFonts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1683D33B">
      <w:pPr>
        <w:spacing w:line="360" w:lineRule="auto"/>
        <w:ind w:firstLine="420" w:firstLineChars="200"/>
        <w:rPr>
          <w:rFonts w:ascii="宋体" w:hAnsi="宋体" w:cs="宋体"/>
          <w:szCs w:val="21"/>
        </w:rPr>
      </w:pPr>
      <w:r>
        <w:rPr>
          <w:rFonts w:ascii="宋体" w:hAnsi="宋体" w:cs="宋体"/>
          <w:szCs w:val="21"/>
        </w:rPr>
        <w:t>4.9</w:t>
      </w:r>
      <w:r>
        <w:rPr>
          <w:rFonts w:hint="eastAsia" w:ascii="宋体" w:hAnsi="宋体" w:cs="宋体"/>
          <w:szCs w:val="21"/>
        </w:rPr>
        <w:t>经供应商确认修正后的最后报价作为评审及签订合同的依据。</w:t>
      </w:r>
    </w:p>
    <w:p w14:paraId="155DCD8B">
      <w:pPr>
        <w:spacing w:line="360" w:lineRule="auto"/>
        <w:ind w:firstLine="420" w:firstLineChars="200"/>
        <w:rPr>
          <w:rFonts w:ascii="宋体" w:hAnsi="宋体" w:cs="宋体"/>
          <w:szCs w:val="21"/>
        </w:rPr>
      </w:pPr>
      <w:r>
        <w:rPr>
          <w:rFonts w:ascii="宋体" w:hAnsi="宋体" w:cs="宋体"/>
          <w:szCs w:val="21"/>
        </w:rPr>
        <w:t>4.10</w:t>
      </w:r>
      <w:r>
        <w:rPr>
          <w:rFonts w:hint="eastAsia" w:ascii="宋体" w:hAnsi="宋体" w:cs="宋体"/>
          <w:szCs w:val="21"/>
        </w:rPr>
        <w:t>最后报价结束后，磋商小组不得再与供应商进行任何形式的商谈。</w:t>
      </w:r>
    </w:p>
    <w:p w14:paraId="591BB4AE">
      <w:pPr>
        <w:spacing w:line="360" w:lineRule="auto"/>
        <w:ind w:firstLine="482" w:firstLineChars="200"/>
        <w:rPr>
          <w:rFonts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比较与评价</w:t>
      </w:r>
    </w:p>
    <w:p w14:paraId="1EDF4809">
      <w:pPr>
        <w:spacing w:line="360" w:lineRule="auto"/>
        <w:ind w:firstLine="420" w:firstLineChars="200"/>
        <w:rPr>
          <w:rFonts w:ascii="宋体" w:hAnsi="宋体" w:cs="宋体"/>
          <w:szCs w:val="21"/>
        </w:rPr>
      </w:pPr>
      <w:r>
        <w:rPr>
          <w:rFonts w:ascii="宋体" w:hAnsi="宋体" w:cs="宋体"/>
          <w:szCs w:val="21"/>
        </w:rPr>
        <w:t>5.1</w:t>
      </w:r>
      <w:r>
        <w:rPr>
          <w:rFonts w:hint="eastAsia" w:ascii="宋体" w:hAnsi="宋体" w:cs="宋体"/>
          <w:szCs w:val="21"/>
        </w:rPr>
        <w:t>评审方法：综合评分法。</w:t>
      </w:r>
    </w:p>
    <w:p w14:paraId="048BFECF">
      <w:pPr>
        <w:spacing w:line="360" w:lineRule="auto"/>
        <w:ind w:firstLine="420" w:firstLineChars="200"/>
        <w:rPr>
          <w:rFonts w:ascii="宋体" w:hAnsi="宋体" w:cs="宋体"/>
          <w:szCs w:val="21"/>
        </w:rPr>
      </w:pPr>
      <w:r>
        <w:rPr>
          <w:rFonts w:ascii="宋体" w:hAnsi="宋体" w:cs="宋体"/>
          <w:szCs w:val="21"/>
        </w:rPr>
        <w:t>5.2</w:t>
      </w: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14:paraId="663BF074">
      <w:pPr>
        <w:spacing w:line="360" w:lineRule="auto"/>
        <w:ind w:firstLine="420" w:firstLineChars="200"/>
        <w:rPr>
          <w:rFonts w:ascii="宋体" w:hAnsi="宋体" w:cs="宋体"/>
          <w:szCs w:val="21"/>
        </w:rPr>
      </w:pPr>
      <w:r>
        <w:rPr>
          <w:rFonts w:ascii="宋体" w:hAnsi="宋体" w:cs="宋体"/>
          <w:szCs w:val="21"/>
        </w:rPr>
        <w:t>5.3</w:t>
      </w:r>
      <w:r>
        <w:rPr>
          <w:rFonts w:hint="eastAsia" w:ascii="宋体" w:hAnsi="宋体" w:cs="宋体"/>
          <w:szCs w:val="21"/>
        </w:rPr>
        <w:t>评审时，磋商小组各成员应当独立对每个有效响应的文件进行评价、打分，然后汇总每个供应商每项评分因素的得分。</w:t>
      </w:r>
    </w:p>
    <w:p w14:paraId="50AF06E7">
      <w:pPr>
        <w:spacing w:line="360" w:lineRule="auto"/>
        <w:ind w:firstLine="420" w:firstLineChars="200"/>
        <w:rPr>
          <w:rFonts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6DE4A267">
      <w:pPr>
        <w:spacing w:line="360" w:lineRule="auto"/>
        <w:ind w:firstLine="420" w:firstLineChars="200"/>
        <w:rPr>
          <w:rFonts w:ascii="宋体" w:hAnsi="宋体" w:cs="宋体"/>
          <w:szCs w:val="21"/>
        </w:rPr>
      </w:pPr>
      <w:r>
        <w:rPr>
          <w:rFonts w:hint="eastAsia" w:ascii="宋体" w:hAnsi="宋体" w:cs="宋体"/>
          <w:szCs w:val="21"/>
        </w:rPr>
        <w:t>（2）各供应商的得分为磋商小组所有成员的有效评分的算术平均数。</w:t>
      </w:r>
    </w:p>
    <w:p w14:paraId="21B0C8D2">
      <w:pPr>
        <w:spacing w:line="360" w:lineRule="auto"/>
        <w:ind w:firstLine="420" w:firstLineChars="200"/>
        <w:rPr>
          <w:rFonts w:ascii="宋体" w:hAnsi="宋体" w:cs="宋体"/>
          <w:szCs w:val="21"/>
        </w:rPr>
      </w:pPr>
      <w:r>
        <w:rPr>
          <w:rFonts w:ascii="宋体" w:hAnsi="宋体" w:cs="宋体"/>
          <w:szCs w:val="21"/>
        </w:rPr>
        <w:t>5.4</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6888ED88">
      <w:pPr>
        <w:spacing w:line="360" w:lineRule="auto"/>
        <w:ind w:firstLine="420" w:firstLineChars="200"/>
        <w:rPr>
          <w:rFonts w:ascii="宋体" w:hAnsi="宋体"/>
          <w:kern w:val="0"/>
          <w:szCs w:val="21"/>
        </w:rPr>
      </w:pPr>
      <w:r>
        <w:rPr>
          <w:rFonts w:ascii="宋体" w:hAnsi="宋体" w:cs="宋体"/>
          <w:szCs w:val="21"/>
        </w:rPr>
        <w:t>5.5</w:t>
      </w:r>
      <w:r>
        <w:rPr>
          <w:rFonts w:hint="eastAsia" w:ascii="宋体" w:hAnsi="宋体" w:cs="宋体"/>
          <w:szCs w:val="21"/>
        </w:rPr>
        <w:t>由磋商小组根据综合评分情况，按照评审得分由高到低顺序推荐3名以上成交候选供应商，并编写评</w:t>
      </w:r>
      <w:r>
        <w:rPr>
          <w:rFonts w:hint="eastAsia" w:ascii="宋体" w:hAnsi="宋体"/>
          <w:kern w:val="0"/>
          <w:szCs w:val="21"/>
        </w:rPr>
        <w:t>审报告。符合本章第</w:t>
      </w:r>
      <w:r>
        <w:rPr>
          <w:rFonts w:ascii="宋体" w:hAnsi="宋体"/>
          <w:kern w:val="0"/>
          <w:szCs w:val="21"/>
        </w:rPr>
        <w:t>4.3</w:t>
      </w:r>
      <w:r>
        <w:rPr>
          <w:rFonts w:hint="eastAsia" w:ascii="宋体" w:hAnsi="宋体"/>
          <w:kern w:val="0"/>
          <w:szCs w:val="21"/>
        </w:rPr>
        <w:t>条情形的，可以推荐2家成交候选供应商。评审得分相同的，按照最后报价由低到高的顺序推荐。评审得分且最后报价相同的，按照技术指标优劣顺序推荐。</w:t>
      </w:r>
    </w:p>
    <w:p w14:paraId="47054F88">
      <w:pPr>
        <w:spacing w:line="360" w:lineRule="auto"/>
        <w:ind w:firstLine="420" w:firstLineChars="200"/>
        <w:rPr>
          <w:rFonts w:ascii="宋体" w:hAnsi="宋体" w:cs="宋体"/>
          <w:szCs w:val="21"/>
        </w:rPr>
      </w:pPr>
      <w:r>
        <w:rPr>
          <w:rFonts w:ascii="宋体" w:hAnsi="宋体"/>
          <w:kern w:val="0"/>
          <w:szCs w:val="21"/>
        </w:rPr>
        <w:t>5.6</w:t>
      </w:r>
      <w:r>
        <w:rPr>
          <w:rFonts w:hint="eastAsia" w:ascii="宋体" w:hAnsi="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079D208">
      <w:r>
        <w:rPr>
          <w:rFonts w:hint="eastAsia"/>
        </w:rPr>
        <w:br w:type="page"/>
      </w:r>
    </w:p>
    <w:p w14:paraId="04806C6C">
      <w:pPr>
        <w:pStyle w:val="3"/>
      </w:pPr>
      <w:r>
        <w:rPr>
          <w:rFonts w:hint="eastAsia"/>
        </w:rPr>
        <w:t>二、评审标准</w:t>
      </w:r>
    </w:p>
    <w:p w14:paraId="0F00376E">
      <w:pPr>
        <w:snapToGrid w:val="0"/>
        <w:spacing w:line="420" w:lineRule="exact"/>
        <w:ind w:firstLine="422" w:firstLineChars="200"/>
        <w:rPr>
          <w:rFonts w:ascii="宋体" w:hAnsi="宋体"/>
          <w:bCs/>
          <w:szCs w:val="21"/>
        </w:rPr>
      </w:pPr>
      <w:r>
        <w:rPr>
          <w:rFonts w:hint="eastAsia" w:ascii="宋体" w:hAnsi="宋体"/>
          <w:b/>
          <w:bCs/>
          <w:szCs w:val="21"/>
        </w:rPr>
        <w:t>1.</w:t>
      </w:r>
      <w:r>
        <w:rPr>
          <w:rFonts w:hint="eastAsia" w:ascii="宋体" w:hAnsi="宋体"/>
          <w:bCs/>
          <w:szCs w:val="21"/>
        </w:rPr>
        <w:t>评审依据：磋商小组将以磋商响应文件为评审依据，对供应商的报价、技术、商务等方面内容按百分制打分。（计分方法按四舍五入取至百分位）</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504"/>
        <w:gridCol w:w="6346"/>
        <w:gridCol w:w="1046"/>
      </w:tblGrid>
      <w:tr w14:paraId="7CD7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vAlign w:val="center"/>
          </w:tcPr>
          <w:p w14:paraId="791C4C0A">
            <w:pPr>
              <w:widowControl/>
              <w:spacing w:line="400" w:lineRule="exact"/>
              <w:jc w:val="center"/>
              <w:rPr>
                <w:rFonts w:ascii="宋体" w:hAnsi="宋体" w:cs="宋体"/>
                <w:b/>
                <w:bCs/>
                <w:color w:val="auto"/>
                <w:kern w:val="0"/>
                <w:szCs w:val="21"/>
              </w:rPr>
            </w:pPr>
            <w:bookmarkStart w:id="92" w:name="_Toc136592402"/>
            <w:bookmarkStart w:id="93" w:name="_Toc73550042"/>
            <w:bookmarkStart w:id="94" w:name="_Toc73550043"/>
            <w:bookmarkStart w:id="95" w:name="_Toc44229897"/>
            <w:bookmarkStart w:id="96" w:name="_Toc22081"/>
            <w:r>
              <w:rPr>
                <w:rFonts w:hint="eastAsia" w:ascii="宋体" w:hAnsi="宋体" w:cs="宋体"/>
                <w:b/>
                <w:bCs/>
                <w:color w:val="auto"/>
                <w:kern w:val="0"/>
                <w:szCs w:val="21"/>
              </w:rPr>
              <w:t>序号</w:t>
            </w:r>
          </w:p>
        </w:tc>
        <w:tc>
          <w:tcPr>
            <w:tcW w:w="763" w:type="pct"/>
            <w:vAlign w:val="center"/>
          </w:tcPr>
          <w:p w14:paraId="7BA1193D">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w:t>
            </w:r>
          </w:p>
          <w:p w14:paraId="5329E291">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因素</w:t>
            </w:r>
          </w:p>
        </w:tc>
        <w:tc>
          <w:tcPr>
            <w:tcW w:w="3220" w:type="pct"/>
            <w:vAlign w:val="center"/>
          </w:tcPr>
          <w:p w14:paraId="521949C3">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评审因素具体内容</w:t>
            </w:r>
          </w:p>
        </w:tc>
        <w:tc>
          <w:tcPr>
            <w:tcW w:w="530" w:type="pct"/>
            <w:vAlign w:val="center"/>
          </w:tcPr>
          <w:p w14:paraId="4EA91D80">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分值</w:t>
            </w:r>
          </w:p>
        </w:tc>
      </w:tr>
      <w:tr w14:paraId="6A96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vAlign w:val="center"/>
          </w:tcPr>
          <w:p w14:paraId="6E5304EE">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3" w:type="pct"/>
            <w:vAlign w:val="center"/>
          </w:tcPr>
          <w:p w14:paraId="7F55DCB0">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价格（20分）</w:t>
            </w:r>
          </w:p>
        </w:tc>
        <w:tc>
          <w:tcPr>
            <w:tcW w:w="3220" w:type="pct"/>
          </w:tcPr>
          <w:p w14:paraId="09A090A6">
            <w:pPr>
              <w:widowControl/>
              <w:spacing w:line="400" w:lineRule="exact"/>
              <w:rPr>
                <w:rFonts w:ascii="宋体" w:hAnsi="宋体" w:cs="宋体"/>
                <w:color w:val="auto"/>
                <w:kern w:val="0"/>
                <w:szCs w:val="21"/>
              </w:rPr>
            </w:pPr>
            <w:r>
              <w:rPr>
                <w:rFonts w:hint="eastAsia" w:ascii="宋体" w:hAnsi="宋体" w:cs="宋体"/>
                <w:color w:val="auto"/>
                <w:kern w:val="0"/>
                <w:szCs w:val="21"/>
              </w:rPr>
              <w:t>（1）本项目为专门面向小微企业采购的项目，不再执行价格评审优惠的扶持政策。</w:t>
            </w:r>
          </w:p>
          <w:p w14:paraId="34E50572">
            <w:pPr>
              <w:widowControl/>
              <w:spacing w:line="400" w:lineRule="exact"/>
              <w:rPr>
                <w:rFonts w:ascii="宋体" w:hAnsi="宋体" w:cs="宋体"/>
                <w:color w:val="auto"/>
                <w:kern w:val="0"/>
                <w:szCs w:val="21"/>
              </w:rPr>
            </w:pPr>
            <w:r>
              <w:rPr>
                <w:rFonts w:hint="eastAsia" w:ascii="宋体" w:hAnsi="宋体" w:cs="宋体"/>
                <w:color w:val="auto"/>
                <w:kern w:val="0"/>
                <w:szCs w:val="21"/>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08C98752">
            <w:pPr>
              <w:widowControl/>
              <w:spacing w:line="400" w:lineRule="exact"/>
              <w:rPr>
                <w:rFonts w:ascii="宋体" w:hAnsi="宋体" w:cs="宋体"/>
                <w:color w:val="auto"/>
                <w:kern w:val="0"/>
                <w:szCs w:val="21"/>
              </w:rPr>
            </w:pPr>
            <w:r>
              <w:rPr>
                <w:rFonts w:hint="eastAsia" w:ascii="宋体" w:hAnsi="宋体" w:cs="宋体"/>
                <w:color w:val="auto"/>
                <w:kern w:val="0"/>
                <w:szCs w:val="21"/>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中标人为残疾人福利性单位的，随中标结果公告其《残疾人福利性单位声明函》，接受社会监督。</w:t>
            </w:r>
          </w:p>
          <w:p w14:paraId="5E2538A1">
            <w:pPr>
              <w:widowControl/>
              <w:spacing w:line="400" w:lineRule="exact"/>
              <w:rPr>
                <w:rFonts w:ascii="宋体" w:hAnsi="宋体" w:cs="宋体"/>
                <w:color w:val="auto"/>
                <w:kern w:val="0"/>
                <w:szCs w:val="21"/>
              </w:rPr>
            </w:pPr>
            <w:r>
              <w:rPr>
                <w:rFonts w:hint="eastAsia" w:ascii="宋体" w:hAnsi="宋体" w:cs="宋体"/>
                <w:color w:val="auto"/>
                <w:kern w:val="0"/>
                <w:szCs w:val="21"/>
              </w:rPr>
              <w:t>（2）以进入评审的最低的评标价为20分。</w:t>
            </w:r>
          </w:p>
          <w:p w14:paraId="46B1594E">
            <w:pPr>
              <w:widowControl/>
              <w:spacing w:line="400" w:lineRule="exact"/>
              <w:rPr>
                <w:rFonts w:ascii="宋体" w:hAnsi="宋体" w:cs="宋体"/>
                <w:color w:val="auto"/>
                <w:kern w:val="0"/>
                <w:szCs w:val="21"/>
              </w:rPr>
            </w:pPr>
            <w:r>
              <w:rPr>
                <w:rFonts w:hint="eastAsia" w:ascii="宋体" w:hAnsi="宋体" w:cs="宋体"/>
                <w:color w:val="auto"/>
                <w:kern w:val="0"/>
                <w:szCs w:val="21"/>
              </w:rPr>
              <w:t>（3）某服务供应商价格分 = 服务供应商最低评标报价（金额）/某服务供应商评标报价（金额）× 20</w:t>
            </w:r>
          </w:p>
        </w:tc>
        <w:tc>
          <w:tcPr>
            <w:tcW w:w="530" w:type="pct"/>
            <w:vAlign w:val="center"/>
          </w:tcPr>
          <w:p w14:paraId="26B7978B">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20分</w:t>
            </w:r>
          </w:p>
        </w:tc>
      </w:tr>
      <w:tr w14:paraId="3C75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vAlign w:val="center"/>
          </w:tcPr>
          <w:p w14:paraId="6BA66090">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2.1</w:t>
            </w:r>
          </w:p>
        </w:tc>
        <w:tc>
          <w:tcPr>
            <w:tcW w:w="763" w:type="pct"/>
            <w:vMerge w:val="restart"/>
            <w:vAlign w:val="center"/>
          </w:tcPr>
          <w:p w14:paraId="5E7BACCE">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技术与服务</w:t>
            </w:r>
            <w:r>
              <w:rPr>
                <w:rFonts w:ascii="宋体" w:hAnsi="宋体" w:cs="宋体"/>
                <w:color w:val="auto"/>
                <w:kern w:val="0"/>
                <w:szCs w:val="21"/>
              </w:rPr>
              <w:t>(30</w:t>
            </w:r>
            <w:r>
              <w:rPr>
                <w:rFonts w:hint="eastAsia" w:ascii="宋体" w:hAnsi="宋体" w:cs="宋体"/>
                <w:color w:val="auto"/>
                <w:kern w:val="0"/>
                <w:szCs w:val="21"/>
              </w:rPr>
              <w:t>分</w:t>
            </w:r>
            <w:r>
              <w:rPr>
                <w:rFonts w:ascii="宋体" w:hAnsi="宋体" w:cs="宋体"/>
                <w:color w:val="auto"/>
                <w:kern w:val="0"/>
                <w:szCs w:val="21"/>
              </w:rPr>
              <w:t>)</w:t>
            </w:r>
          </w:p>
        </w:tc>
        <w:tc>
          <w:tcPr>
            <w:tcW w:w="3220" w:type="pct"/>
            <w:shd w:val="clear" w:color="auto" w:fill="auto"/>
            <w:vAlign w:val="center"/>
          </w:tcPr>
          <w:p w14:paraId="6B1A352A">
            <w:pPr>
              <w:widowControl/>
              <w:spacing w:line="400" w:lineRule="exact"/>
              <w:rPr>
                <w:rFonts w:ascii="宋体" w:hAnsi="宋体" w:cs="宋体"/>
                <w:bCs/>
                <w:color w:val="auto"/>
                <w:szCs w:val="21"/>
              </w:rPr>
            </w:pPr>
            <w:r>
              <w:rPr>
                <w:rFonts w:hint="eastAsia" w:ascii="宋体" w:hAnsi="宋体" w:cs="宋体"/>
                <w:bCs/>
                <w:color w:val="auto"/>
                <w:szCs w:val="21"/>
              </w:rPr>
              <w:t>要求服务商围绕网络营销与直播电商专业教学资源库、数字贸易国际交流中心及电商谷虚拟仿真基地等进行合理的个性化视频设计，结合服务商对采购需求的理解程度，由评委进行综合打分。</w:t>
            </w:r>
          </w:p>
          <w:p w14:paraId="4E54B04F">
            <w:pPr>
              <w:widowControl/>
              <w:spacing w:line="400" w:lineRule="exact"/>
              <w:rPr>
                <w:rFonts w:ascii="宋体" w:hAnsi="宋体" w:cs="宋体"/>
                <w:bCs/>
                <w:color w:val="auto"/>
                <w:szCs w:val="21"/>
              </w:rPr>
            </w:pPr>
            <w:r>
              <w:rPr>
                <w:rFonts w:hint="eastAsia" w:ascii="宋体" w:hAnsi="宋体" w:cs="宋体"/>
                <w:bCs/>
                <w:color w:val="auto"/>
                <w:szCs w:val="21"/>
              </w:rPr>
              <w:t xml:space="preserve">一档（10分）：各章节或教学知识点之间相互衔接，能形成完整的知识体系，可以准确概括该专业教学内容，设计合理准确，高度符合采购需求的得10分； </w:t>
            </w:r>
          </w:p>
          <w:p w14:paraId="4FCA20E6">
            <w:pPr>
              <w:widowControl/>
              <w:spacing w:line="400" w:lineRule="exact"/>
              <w:rPr>
                <w:rFonts w:ascii="宋体" w:hAnsi="宋体" w:cs="宋体"/>
                <w:bCs/>
                <w:color w:val="auto"/>
                <w:szCs w:val="21"/>
              </w:rPr>
            </w:pPr>
            <w:r>
              <w:rPr>
                <w:rFonts w:hint="eastAsia" w:ascii="宋体" w:hAnsi="宋体" w:cs="宋体"/>
                <w:bCs/>
                <w:color w:val="auto"/>
                <w:szCs w:val="21"/>
              </w:rPr>
              <w:t>二档（5分）：各章节或教学知识点之间相互衔接，能形成较为完整的知识体系，可以概括该专业教学内容，相对符合采购需求的得5分；</w:t>
            </w:r>
          </w:p>
          <w:p w14:paraId="194E63AA">
            <w:pPr>
              <w:widowControl/>
              <w:spacing w:line="400" w:lineRule="exact"/>
              <w:rPr>
                <w:rFonts w:ascii="宋体" w:hAnsi="宋体" w:cs="宋体"/>
                <w:bCs/>
                <w:color w:val="auto"/>
                <w:szCs w:val="21"/>
              </w:rPr>
            </w:pPr>
            <w:r>
              <w:rPr>
                <w:rFonts w:hint="eastAsia" w:ascii="宋体" w:hAnsi="宋体" w:cs="宋体"/>
                <w:bCs/>
                <w:color w:val="auto"/>
                <w:szCs w:val="21"/>
              </w:rPr>
              <w:t>三档（2分）：各章节或教学知识点之间相互衔接，能基本形成完整的知识体系，可以部分概括该专业教学内容，基本符合采购需求的得2分；</w:t>
            </w:r>
          </w:p>
          <w:p w14:paraId="35035554">
            <w:pPr>
              <w:widowControl/>
              <w:spacing w:line="400" w:lineRule="exact"/>
              <w:rPr>
                <w:rFonts w:ascii="宋体" w:hAnsi="宋体" w:cs="宋体"/>
                <w:bCs/>
                <w:color w:val="auto"/>
                <w:szCs w:val="21"/>
              </w:rPr>
            </w:pPr>
            <w:r>
              <w:rPr>
                <w:rFonts w:hint="eastAsia" w:ascii="宋体" w:hAnsi="宋体" w:cs="宋体"/>
                <w:bCs/>
                <w:color w:val="auto"/>
                <w:szCs w:val="21"/>
              </w:rPr>
              <w:t>不提供方案或不满足以上评分项的不得分。</w:t>
            </w:r>
          </w:p>
        </w:tc>
        <w:tc>
          <w:tcPr>
            <w:tcW w:w="530" w:type="pct"/>
            <w:vAlign w:val="center"/>
          </w:tcPr>
          <w:p w14:paraId="0A5B2E33">
            <w:pPr>
              <w:spacing w:line="400" w:lineRule="exact"/>
              <w:jc w:val="center"/>
              <w:rPr>
                <w:rFonts w:ascii="宋体" w:hAnsi="宋体" w:cs="宋体"/>
                <w:color w:val="auto"/>
                <w:kern w:val="0"/>
                <w:szCs w:val="21"/>
              </w:rPr>
            </w:pPr>
            <w:r>
              <w:rPr>
                <w:rFonts w:hint="eastAsia" w:ascii="宋体" w:hAnsi="宋体" w:cs="宋体"/>
                <w:color w:val="auto"/>
                <w:kern w:val="0"/>
                <w:szCs w:val="21"/>
              </w:rPr>
              <w:t>10分</w:t>
            </w:r>
          </w:p>
        </w:tc>
      </w:tr>
      <w:tr w14:paraId="5726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vAlign w:val="center"/>
          </w:tcPr>
          <w:p w14:paraId="596BA7D5">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2.2</w:t>
            </w:r>
          </w:p>
        </w:tc>
        <w:tc>
          <w:tcPr>
            <w:tcW w:w="763" w:type="pct"/>
            <w:vMerge w:val="continue"/>
            <w:vAlign w:val="center"/>
          </w:tcPr>
          <w:p w14:paraId="3CE6C65B">
            <w:pPr>
              <w:spacing w:line="400" w:lineRule="exact"/>
              <w:rPr>
                <w:rFonts w:ascii="宋体" w:hAnsi="宋体" w:cs="宋体"/>
                <w:bCs/>
                <w:color w:val="auto"/>
                <w:szCs w:val="21"/>
              </w:rPr>
            </w:pPr>
          </w:p>
        </w:tc>
        <w:tc>
          <w:tcPr>
            <w:tcW w:w="3220" w:type="pct"/>
            <w:shd w:val="clear" w:color="auto" w:fill="auto"/>
            <w:vAlign w:val="center"/>
          </w:tcPr>
          <w:p w14:paraId="199C9BF0">
            <w:pPr>
              <w:widowControl/>
              <w:spacing w:line="400" w:lineRule="exact"/>
              <w:rPr>
                <w:rFonts w:ascii="宋体" w:hAnsi="宋体" w:cs="宋体"/>
                <w:bCs/>
                <w:color w:val="auto"/>
                <w:szCs w:val="21"/>
              </w:rPr>
            </w:pPr>
            <w:r>
              <w:rPr>
                <w:rFonts w:hint="eastAsia" w:ascii="宋体" w:hAnsi="宋体" w:cs="宋体"/>
                <w:bCs/>
                <w:color w:val="auto"/>
                <w:szCs w:val="21"/>
              </w:rPr>
              <w:t>要求服务商围绕网络营销与直播电商专业教学资源库、数字贸易国际交流中心及电商谷虚拟仿真基地等提供不少于15节视频脚本，结合服务商对采购需求的理解程度，由评委进行综合打分。</w:t>
            </w:r>
          </w:p>
          <w:p w14:paraId="3E1D396D">
            <w:pPr>
              <w:widowControl/>
              <w:spacing w:line="400" w:lineRule="exact"/>
              <w:rPr>
                <w:rFonts w:ascii="宋体" w:hAnsi="宋体" w:cs="宋体"/>
                <w:bCs/>
                <w:color w:val="auto"/>
                <w:szCs w:val="21"/>
              </w:rPr>
            </w:pPr>
            <w:r>
              <w:rPr>
                <w:rFonts w:hint="eastAsia" w:ascii="宋体" w:hAnsi="宋体" w:cs="宋体"/>
                <w:bCs/>
                <w:color w:val="auto"/>
                <w:szCs w:val="21"/>
              </w:rPr>
              <w:t>一档（10分）：对采购需求的理解程度透彻，内容覆盖课程主要教学知识点，脚本设计合理易于实施，教学课时和教学任务安排合理的得10分；</w:t>
            </w:r>
          </w:p>
          <w:p w14:paraId="774D539B">
            <w:pPr>
              <w:widowControl/>
              <w:spacing w:line="400" w:lineRule="exact"/>
              <w:rPr>
                <w:rFonts w:ascii="宋体" w:hAnsi="宋体" w:cs="宋体"/>
                <w:bCs/>
                <w:color w:val="auto"/>
                <w:szCs w:val="21"/>
              </w:rPr>
            </w:pPr>
            <w:r>
              <w:rPr>
                <w:rFonts w:hint="eastAsia" w:ascii="宋体" w:hAnsi="宋体" w:cs="宋体"/>
                <w:bCs/>
                <w:color w:val="auto"/>
                <w:szCs w:val="21"/>
              </w:rPr>
              <w:t>二档（5分）：视频内容覆盖课程大部分教学知识点，脚本设计较为合理易于实施，教学课时和教学任务安排较为合理的得5分；</w:t>
            </w:r>
          </w:p>
          <w:p w14:paraId="05CD0811">
            <w:pPr>
              <w:widowControl/>
              <w:spacing w:line="400" w:lineRule="exact"/>
              <w:rPr>
                <w:rFonts w:ascii="宋体" w:hAnsi="宋体" w:cs="宋体"/>
                <w:bCs/>
                <w:color w:val="auto"/>
                <w:szCs w:val="21"/>
              </w:rPr>
            </w:pPr>
            <w:r>
              <w:rPr>
                <w:rFonts w:hint="eastAsia" w:ascii="宋体" w:hAnsi="宋体" w:cs="宋体"/>
                <w:bCs/>
                <w:color w:val="auto"/>
                <w:szCs w:val="21"/>
              </w:rPr>
              <w:t>三档（2分）：视频内容覆盖课程部分教学知识点，脚本设计基本合理易于实施，教学课时和教学任务安排基本合理的得2分；</w:t>
            </w:r>
          </w:p>
          <w:p w14:paraId="6827CBFD">
            <w:pPr>
              <w:widowControl/>
              <w:spacing w:line="400" w:lineRule="exact"/>
              <w:rPr>
                <w:rFonts w:ascii="宋体" w:hAnsi="宋体" w:cs="宋体"/>
                <w:bCs/>
                <w:color w:val="auto"/>
                <w:szCs w:val="21"/>
              </w:rPr>
            </w:pPr>
            <w:r>
              <w:rPr>
                <w:rFonts w:hint="eastAsia" w:ascii="宋体" w:hAnsi="宋体" w:cs="宋体"/>
                <w:bCs/>
                <w:color w:val="auto"/>
                <w:szCs w:val="21"/>
              </w:rPr>
              <w:t>不提供方案或不满足以上评分项的不得分。</w:t>
            </w:r>
          </w:p>
        </w:tc>
        <w:tc>
          <w:tcPr>
            <w:tcW w:w="530" w:type="pct"/>
            <w:vAlign w:val="center"/>
          </w:tcPr>
          <w:p w14:paraId="54CA48F0">
            <w:pPr>
              <w:spacing w:line="400" w:lineRule="exact"/>
              <w:jc w:val="center"/>
              <w:rPr>
                <w:rFonts w:ascii="宋体" w:hAnsi="宋体" w:cs="宋体"/>
                <w:color w:val="auto"/>
                <w:kern w:val="0"/>
                <w:szCs w:val="21"/>
              </w:rPr>
            </w:pPr>
            <w:r>
              <w:rPr>
                <w:rFonts w:hint="eastAsia" w:ascii="宋体" w:hAnsi="宋体" w:cs="宋体"/>
                <w:color w:val="auto"/>
                <w:kern w:val="0"/>
                <w:szCs w:val="21"/>
              </w:rPr>
              <w:t>10分</w:t>
            </w:r>
          </w:p>
        </w:tc>
      </w:tr>
      <w:tr w14:paraId="4597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vAlign w:val="center"/>
          </w:tcPr>
          <w:p w14:paraId="21518326">
            <w:pPr>
              <w:widowControl/>
              <w:spacing w:line="400" w:lineRule="exact"/>
              <w:jc w:val="center"/>
              <w:rPr>
                <w:rFonts w:ascii="宋体" w:hAnsi="宋体" w:cs="宋体"/>
                <w:color w:val="auto"/>
                <w:kern w:val="0"/>
                <w:szCs w:val="21"/>
              </w:rPr>
            </w:pPr>
            <w:r>
              <w:rPr>
                <w:rFonts w:ascii="宋体" w:hAnsi="宋体" w:cs="宋体"/>
                <w:color w:val="auto"/>
                <w:kern w:val="0"/>
                <w:szCs w:val="21"/>
              </w:rPr>
              <w:t>2.3</w:t>
            </w:r>
          </w:p>
        </w:tc>
        <w:tc>
          <w:tcPr>
            <w:tcW w:w="763" w:type="pct"/>
            <w:vMerge w:val="continue"/>
            <w:vAlign w:val="center"/>
          </w:tcPr>
          <w:p w14:paraId="5A0DDED2">
            <w:pPr>
              <w:spacing w:line="400" w:lineRule="exact"/>
              <w:rPr>
                <w:rFonts w:ascii="宋体" w:hAnsi="宋体" w:cs="宋体"/>
                <w:bCs/>
                <w:color w:val="auto"/>
                <w:szCs w:val="21"/>
              </w:rPr>
            </w:pPr>
          </w:p>
        </w:tc>
        <w:tc>
          <w:tcPr>
            <w:tcW w:w="3220" w:type="pct"/>
            <w:shd w:val="clear" w:color="auto" w:fill="auto"/>
            <w:vAlign w:val="center"/>
          </w:tcPr>
          <w:p w14:paraId="1FA0DB8E">
            <w:pPr>
              <w:widowControl/>
              <w:spacing w:line="400" w:lineRule="exact"/>
              <w:rPr>
                <w:rFonts w:ascii="宋体" w:hAnsi="宋体" w:cs="宋体"/>
                <w:color w:val="auto"/>
              </w:rPr>
            </w:pPr>
            <w:r>
              <w:rPr>
                <w:rFonts w:hint="eastAsia" w:ascii="宋体" w:hAnsi="宋体" w:cs="宋体"/>
                <w:color w:val="auto"/>
              </w:rPr>
              <w:t>项目总体实施方案分：评委根据服务商所提供的项目总体实施方案进行综合评分，包括且不限于项目管理能力、实施准备、交付安排、质量控制、培训安排服务承诺等方面进行综合评分。</w:t>
            </w:r>
          </w:p>
          <w:p w14:paraId="5314220A">
            <w:pPr>
              <w:widowControl/>
              <w:spacing w:line="400" w:lineRule="exact"/>
              <w:rPr>
                <w:rFonts w:ascii="宋体" w:hAnsi="宋体" w:cs="宋体"/>
                <w:color w:val="auto"/>
              </w:rPr>
            </w:pPr>
            <w:r>
              <w:rPr>
                <w:rFonts w:hint="eastAsia" w:ascii="宋体" w:hAnsi="宋体" w:cs="宋体"/>
                <w:color w:val="auto"/>
              </w:rPr>
              <w:t xml:space="preserve">一档（10分）：项目总体实施方案针对本项目特点进行了详尽阐述，背景理解到位，目的分析合理，项目管理能力等各方面叙述完整准确，完全符合项目要求的得10分； </w:t>
            </w:r>
          </w:p>
          <w:p w14:paraId="192684B5">
            <w:pPr>
              <w:widowControl/>
              <w:spacing w:line="400" w:lineRule="exact"/>
              <w:rPr>
                <w:rFonts w:ascii="宋体" w:hAnsi="宋体" w:cs="宋体"/>
                <w:color w:val="auto"/>
              </w:rPr>
            </w:pPr>
            <w:r>
              <w:rPr>
                <w:rFonts w:hint="eastAsia" w:ascii="宋体" w:hAnsi="宋体" w:cs="宋体"/>
                <w:color w:val="auto"/>
              </w:rPr>
              <w:t>二档（5分）：项目总体实施方案针对本项目特点进行了阐述，背景理解一般，目的分析比较合理，项目管理能力等各方面叙述较为完整准确，比较符合项目要求的得5分；</w:t>
            </w:r>
          </w:p>
          <w:p w14:paraId="07D4762F">
            <w:pPr>
              <w:widowControl/>
              <w:spacing w:line="400" w:lineRule="exact"/>
              <w:rPr>
                <w:rFonts w:ascii="宋体" w:hAnsi="宋体" w:cs="宋体"/>
                <w:color w:val="auto"/>
              </w:rPr>
            </w:pPr>
            <w:r>
              <w:rPr>
                <w:rFonts w:hint="eastAsia" w:ascii="宋体" w:hAnsi="宋体" w:cs="宋体"/>
                <w:color w:val="auto"/>
              </w:rPr>
              <w:t xml:space="preserve">三档（2分）：项目总体实施方案针对本项目特点进行了阐述，基本符合项目要求得2分； </w:t>
            </w:r>
          </w:p>
          <w:p w14:paraId="281400E3">
            <w:pPr>
              <w:widowControl/>
              <w:spacing w:line="400" w:lineRule="exact"/>
              <w:rPr>
                <w:rFonts w:ascii="宋体" w:hAnsi="宋体" w:cs="宋体"/>
                <w:color w:val="auto"/>
              </w:rPr>
            </w:pPr>
            <w:r>
              <w:rPr>
                <w:rFonts w:hint="eastAsia" w:ascii="宋体" w:hAnsi="宋体" w:cs="宋体"/>
                <w:color w:val="auto"/>
              </w:rPr>
              <w:t>不提供方案或不满足以上评分项的不得分。</w:t>
            </w:r>
          </w:p>
        </w:tc>
        <w:tc>
          <w:tcPr>
            <w:tcW w:w="530" w:type="pct"/>
            <w:vAlign w:val="center"/>
          </w:tcPr>
          <w:p w14:paraId="787DBFD5">
            <w:pPr>
              <w:spacing w:line="400" w:lineRule="exact"/>
              <w:ind w:firstLine="210" w:firstLineChars="100"/>
              <w:rPr>
                <w:rFonts w:ascii="宋体" w:hAnsi="宋体" w:cs="宋体"/>
                <w:color w:val="auto"/>
                <w:kern w:val="0"/>
                <w:szCs w:val="21"/>
              </w:rPr>
            </w:pPr>
            <w:r>
              <w:rPr>
                <w:rFonts w:hint="eastAsia" w:ascii="宋体" w:hAnsi="宋体" w:cs="宋体"/>
                <w:color w:val="auto"/>
                <w:kern w:val="0"/>
                <w:szCs w:val="21"/>
              </w:rPr>
              <w:t>10分</w:t>
            </w:r>
          </w:p>
        </w:tc>
      </w:tr>
      <w:tr w14:paraId="0552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vAlign w:val="center"/>
          </w:tcPr>
          <w:p w14:paraId="4973A813">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3</w:t>
            </w:r>
          </w:p>
        </w:tc>
        <w:tc>
          <w:tcPr>
            <w:tcW w:w="763" w:type="pct"/>
            <w:vAlign w:val="center"/>
          </w:tcPr>
          <w:p w14:paraId="4404E064">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演示与答辩（18分）</w:t>
            </w:r>
          </w:p>
        </w:tc>
        <w:tc>
          <w:tcPr>
            <w:tcW w:w="3220" w:type="pct"/>
            <w:vAlign w:val="center"/>
          </w:tcPr>
          <w:p w14:paraId="5022C60A">
            <w:pPr>
              <w:widowControl/>
              <w:spacing w:line="400" w:lineRule="exact"/>
              <w:rPr>
                <w:rFonts w:ascii="宋体" w:hAnsi="宋体" w:cs="宋体"/>
                <w:color w:val="auto"/>
                <w:kern w:val="0"/>
                <w:szCs w:val="21"/>
              </w:rPr>
            </w:pPr>
            <w:r>
              <w:rPr>
                <w:rFonts w:hint="eastAsia" w:ascii="宋体" w:hAnsi="宋体" w:cs="宋体"/>
                <w:color w:val="auto"/>
                <w:kern w:val="0"/>
                <w:szCs w:val="21"/>
              </w:rPr>
              <w:t>环节1：现场演示（满分10分）</w:t>
            </w:r>
          </w:p>
          <w:p w14:paraId="739C6D00">
            <w:pPr>
              <w:widowControl/>
              <w:spacing w:line="400" w:lineRule="exact"/>
              <w:rPr>
                <w:rFonts w:ascii="宋体" w:hAnsi="宋体" w:cs="宋体"/>
                <w:color w:val="auto"/>
                <w:kern w:val="0"/>
                <w:szCs w:val="21"/>
              </w:rPr>
            </w:pPr>
            <w:r>
              <w:rPr>
                <w:rFonts w:hint="eastAsia" w:ascii="宋体" w:hAnsi="宋体" w:cs="宋体"/>
                <w:color w:val="auto"/>
                <w:kern w:val="0"/>
                <w:szCs w:val="21"/>
              </w:rPr>
              <w:t>演示时长要求不超过10分钟。</w:t>
            </w:r>
          </w:p>
          <w:p w14:paraId="162A9CA9">
            <w:pPr>
              <w:widowControl/>
              <w:spacing w:line="400" w:lineRule="exact"/>
              <w:rPr>
                <w:rFonts w:ascii="宋体" w:hAnsi="宋体" w:cs="宋体"/>
                <w:color w:val="auto"/>
                <w:kern w:val="0"/>
                <w:szCs w:val="21"/>
              </w:rPr>
            </w:pPr>
            <w:r>
              <w:rPr>
                <w:rFonts w:hint="eastAsia" w:ascii="宋体" w:hAnsi="宋体" w:cs="宋体"/>
                <w:color w:val="auto"/>
                <w:kern w:val="0"/>
                <w:szCs w:val="21"/>
              </w:rPr>
              <w:t>要求服务商具有国家级教学资源库数字资源的建设经历，并提供与国家教育部《普通高等学校高等职业教育（专科）专业目录》中电子商务类专业相关的动画、微课及三维仿真资源等要求演示资源。</w:t>
            </w:r>
          </w:p>
          <w:p w14:paraId="6032A532">
            <w:pPr>
              <w:widowControl/>
              <w:spacing w:line="400" w:lineRule="exact"/>
              <w:rPr>
                <w:rFonts w:ascii="宋体" w:hAnsi="宋体" w:cs="宋体"/>
                <w:color w:val="auto"/>
                <w:kern w:val="0"/>
                <w:szCs w:val="21"/>
              </w:rPr>
            </w:pPr>
            <w:r>
              <w:rPr>
                <w:rFonts w:hint="eastAsia" w:ascii="宋体" w:hAnsi="宋体" w:cs="宋体"/>
                <w:color w:val="auto"/>
                <w:kern w:val="0"/>
                <w:szCs w:val="21"/>
              </w:rPr>
              <w:t>一档（10分）：提供的动画、微课及三维仿真资源等版权清晰，均为高质量产品，且出具参与国家级资源库建设证明材料，内容丰富、准确、新颖，能够紧密贴合商科类教学需求。资源演示效果出色，能够清晰、直观地展示资源内容和特色的得10分；</w:t>
            </w:r>
          </w:p>
          <w:p w14:paraId="08D1F49E">
            <w:pPr>
              <w:widowControl/>
              <w:spacing w:line="400" w:lineRule="exact"/>
              <w:rPr>
                <w:rFonts w:ascii="宋体" w:hAnsi="宋体" w:cs="宋体"/>
                <w:color w:val="auto"/>
                <w:kern w:val="0"/>
                <w:szCs w:val="21"/>
              </w:rPr>
            </w:pPr>
            <w:r>
              <w:rPr>
                <w:rFonts w:hint="eastAsia" w:ascii="宋体" w:hAnsi="宋体" w:cs="宋体"/>
                <w:color w:val="auto"/>
                <w:kern w:val="0"/>
                <w:szCs w:val="21"/>
              </w:rPr>
              <w:t>二档（6分）：服务商提供的动画、微课及三维仿真资源等版权清晰，均为高质量产品，且出具参与省级资源库建设证明材料，提供的资源质量较好，但可能在某些方面存在不足，如创新性不够突出等。资源演示演示流程不够顺畅、视觉效果不够突出等得6分；</w:t>
            </w:r>
          </w:p>
          <w:p w14:paraId="279DDF3C">
            <w:pPr>
              <w:widowControl/>
              <w:spacing w:line="400" w:lineRule="exact"/>
              <w:rPr>
                <w:rFonts w:ascii="宋体" w:hAnsi="宋体" w:cs="宋体"/>
                <w:color w:val="auto"/>
                <w:kern w:val="0"/>
                <w:szCs w:val="21"/>
              </w:rPr>
            </w:pPr>
            <w:r>
              <w:rPr>
                <w:rFonts w:hint="eastAsia" w:ascii="宋体" w:hAnsi="宋体" w:cs="宋体"/>
                <w:color w:val="auto"/>
                <w:kern w:val="0"/>
                <w:szCs w:val="21"/>
              </w:rPr>
              <w:t>三档（2分）：服务商提供的动画、微课及三维仿真资源等版权清晰，且出具参与校级资源库建设证明材料，提供的资源质量一般，存在较多不足，如内容准确性不够高、呈现方式较为单一等。资源演示效果欠佳，存在较多问题，如演示流程混乱、视觉效果差等得2分；版权存在疑问、制作水平无法达到省级数字资源制作水平的及未提供此项演示的不得分。</w:t>
            </w:r>
          </w:p>
          <w:p w14:paraId="41099068">
            <w:pPr>
              <w:widowControl/>
              <w:spacing w:line="400" w:lineRule="exact"/>
              <w:rPr>
                <w:rFonts w:ascii="宋体" w:hAnsi="宋体" w:cs="宋体"/>
                <w:color w:val="auto"/>
                <w:kern w:val="0"/>
                <w:szCs w:val="21"/>
              </w:rPr>
            </w:pPr>
            <w:r>
              <w:rPr>
                <w:rFonts w:hint="eastAsia" w:ascii="宋体" w:hAnsi="宋体" w:cs="宋体"/>
                <w:color w:val="auto"/>
                <w:kern w:val="0"/>
                <w:szCs w:val="21"/>
              </w:rPr>
              <w:t>（2）环节2：现场答辩（满分8分）</w:t>
            </w:r>
          </w:p>
          <w:p w14:paraId="6E8B033B">
            <w:pPr>
              <w:widowControl/>
              <w:spacing w:line="400" w:lineRule="exact"/>
              <w:rPr>
                <w:rFonts w:ascii="宋体" w:hAnsi="宋体" w:cs="宋体"/>
                <w:color w:val="auto"/>
                <w:kern w:val="0"/>
                <w:szCs w:val="21"/>
              </w:rPr>
            </w:pPr>
            <w:r>
              <w:rPr>
                <w:rFonts w:hint="eastAsia" w:ascii="宋体" w:hAnsi="宋体" w:cs="宋体"/>
                <w:color w:val="auto"/>
                <w:kern w:val="0"/>
                <w:szCs w:val="21"/>
              </w:rPr>
              <w:t>由评委对服务商数字化资源建设、三维资源设计等方面进行服务商课程开发所具备能力提问，由服务商进行现场答辩，并结合对采购需求的理解程度，最终由评委根据回复内容，服务优势等进行综合评分。</w:t>
            </w:r>
          </w:p>
          <w:p w14:paraId="60A21402">
            <w:pPr>
              <w:widowControl/>
              <w:spacing w:line="400" w:lineRule="exact"/>
              <w:rPr>
                <w:rFonts w:ascii="宋体" w:hAnsi="宋体" w:cs="宋体"/>
                <w:color w:val="auto"/>
                <w:kern w:val="0"/>
                <w:szCs w:val="21"/>
              </w:rPr>
            </w:pPr>
            <w:r>
              <w:rPr>
                <w:rFonts w:hint="eastAsia" w:ascii="宋体" w:hAnsi="宋体" w:cs="宋体"/>
                <w:color w:val="auto"/>
                <w:kern w:val="0"/>
                <w:szCs w:val="21"/>
              </w:rPr>
              <w:t xml:space="preserve">一档（8分）：服务商对采购需求有深入且准确的理解，能够清晰地阐述如何针对电子商务类专业的教学需求进行课程开发，且提出的解决方案高度契合采购要求。提供的数字化资源种类多样、内容丰富，能够满足不同教学场景和需求。服务商在答辩过程中表达清晰、逻辑严密，能够准确回答评委的问题的得8分； </w:t>
            </w:r>
          </w:p>
          <w:p w14:paraId="3757268C">
            <w:pPr>
              <w:widowControl/>
              <w:spacing w:line="400" w:lineRule="exact"/>
              <w:rPr>
                <w:rFonts w:ascii="宋体" w:hAnsi="宋体" w:cs="宋体"/>
                <w:color w:val="auto"/>
                <w:kern w:val="0"/>
                <w:szCs w:val="21"/>
              </w:rPr>
            </w:pPr>
            <w:r>
              <w:rPr>
                <w:rFonts w:hint="eastAsia" w:ascii="宋体" w:hAnsi="宋体" w:cs="宋体"/>
                <w:color w:val="auto"/>
                <w:kern w:val="0"/>
                <w:szCs w:val="21"/>
              </w:rPr>
              <w:t>二档（5分）：服务商对采购需求有较好的理解，能够大致把握教学需求的方向，但在某些细节上可能存在偏差或遗漏。提供的数字化资源基本能够满足教学需求，但在某些方面可能不够丰富或新颖。服务商在答辩过程中表达基本清晰，但可能在某些细节上存在不足的得5分；</w:t>
            </w:r>
          </w:p>
          <w:p w14:paraId="19FEF57A">
            <w:pPr>
              <w:widowControl/>
              <w:spacing w:line="400" w:lineRule="exact"/>
              <w:rPr>
                <w:rFonts w:ascii="宋体" w:hAnsi="宋体" w:cs="宋体"/>
                <w:color w:val="auto"/>
                <w:kern w:val="0"/>
                <w:szCs w:val="21"/>
              </w:rPr>
            </w:pPr>
            <w:r>
              <w:rPr>
                <w:rFonts w:hint="eastAsia" w:ascii="宋体" w:hAnsi="宋体" w:cs="宋体"/>
                <w:color w:val="auto"/>
                <w:kern w:val="0"/>
                <w:szCs w:val="21"/>
              </w:rPr>
              <w:t>三档（2分）：服务商对采购需求的理解不够深入，可能存在较大的偏差或误解，导致提出的解决方案与采购需求不匹配。提供的数字化资源种类单一、内容匮乏，难以满足教学需求。服务商在答辩过程中表达不清、逻辑混乱，难以准确回答评委的问题的得2分；</w:t>
            </w:r>
          </w:p>
          <w:p w14:paraId="36692938">
            <w:pPr>
              <w:widowControl/>
              <w:spacing w:line="400" w:lineRule="exact"/>
              <w:rPr>
                <w:rFonts w:ascii="宋体" w:hAnsi="宋体" w:cs="宋体"/>
                <w:bCs/>
                <w:color w:val="auto"/>
                <w:szCs w:val="21"/>
              </w:rPr>
            </w:pPr>
            <w:r>
              <w:rPr>
                <w:rFonts w:hint="eastAsia" w:ascii="宋体" w:hAnsi="宋体" w:cs="宋体"/>
                <w:color w:val="auto"/>
                <w:kern w:val="0"/>
                <w:szCs w:val="21"/>
              </w:rPr>
              <w:t>回复或无效回复的不得分。</w:t>
            </w:r>
          </w:p>
        </w:tc>
        <w:tc>
          <w:tcPr>
            <w:tcW w:w="530" w:type="pct"/>
            <w:vAlign w:val="center"/>
          </w:tcPr>
          <w:p w14:paraId="58CAE458">
            <w:pPr>
              <w:spacing w:line="400" w:lineRule="exact"/>
              <w:jc w:val="center"/>
              <w:rPr>
                <w:rFonts w:ascii="宋体" w:hAnsi="宋体" w:cs="宋体"/>
                <w:color w:val="auto"/>
                <w:kern w:val="0"/>
                <w:szCs w:val="21"/>
              </w:rPr>
            </w:pPr>
            <w:r>
              <w:rPr>
                <w:rFonts w:hint="eastAsia" w:ascii="宋体" w:hAnsi="宋体" w:cs="宋体"/>
                <w:color w:val="auto"/>
                <w:kern w:val="0"/>
                <w:szCs w:val="21"/>
              </w:rPr>
              <w:t>18分</w:t>
            </w:r>
          </w:p>
        </w:tc>
      </w:tr>
      <w:tr w14:paraId="7072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vAlign w:val="center"/>
          </w:tcPr>
          <w:p w14:paraId="567241E2">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4.1</w:t>
            </w:r>
          </w:p>
        </w:tc>
        <w:tc>
          <w:tcPr>
            <w:tcW w:w="763" w:type="pct"/>
            <w:vMerge w:val="restart"/>
            <w:vAlign w:val="center"/>
          </w:tcPr>
          <w:p w14:paraId="6F3A657F">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商务资质</w:t>
            </w:r>
          </w:p>
          <w:p w14:paraId="12AF0C0D">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（30分）</w:t>
            </w:r>
          </w:p>
        </w:tc>
        <w:tc>
          <w:tcPr>
            <w:tcW w:w="3220" w:type="pct"/>
          </w:tcPr>
          <w:p w14:paraId="70BAAF1F">
            <w:pPr>
              <w:spacing w:line="380" w:lineRule="exact"/>
              <w:rPr>
                <w:rFonts w:ascii="宋体" w:hAnsi="宋体" w:cs="宋体"/>
                <w:color w:val="auto"/>
                <w:szCs w:val="21"/>
              </w:rPr>
            </w:pPr>
            <w:r>
              <w:rPr>
                <w:rFonts w:hint="eastAsia" w:ascii="宋体" w:hAnsi="宋体" w:cs="宋体"/>
                <w:color w:val="auto"/>
                <w:kern w:val="0"/>
                <w:szCs w:val="21"/>
              </w:rPr>
              <w:t>服务商具有经教育部网站公示且通过验收的国家级教学资源的建设经验，提供由合作院校颁发的联合建设证书，每提供一个得2分，满分2分；未提供不得分。（证书原件备查）</w:t>
            </w:r>
          </w:p>
        </w:tc>
        <w:tc>
          <w:tcPr>
            <w:tcW w:w="530" w:type="pct"/>
            <w:vAlign w:val="center"/>
          </w:tcPr>
          <w:p w14:paraId="7925209C">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w:t>
            </w:r>
          </w:p>
        </w:tc>
      </w:tr>
      <w:tr w14:paraId="44FF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vAlign w:val="center"/>
          </w:tcPr>
          <w:p w14:paraId="4A33549A">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4.2</w:t>
            </w:r>
          </w:p>
        </w:tc>
        <w:tc>
          <w:tcPr>
            <w:tcW w:w="763" w:type="pct"/>
            <w:vMerge w:val="continue"/>
            <w:vAlign w:val="center"/>
          </w:tcPr>
          <w:p w14:paraId="407202C8">
            <w:pPr>
              <w:adjustRightInd w:val="0"/>
              <w:snapToGrid w:val="0"/>
              <w:spacing w:line="400" w:lineRule="exact"/>
              <w:jc w:val="center"/>
              <w:rPr>
                <w:rFonts w:ascii="宋体" w:hAnsi="宋体" w:cs="宋体"/>
                <w:color w:val="auto"/>
                <w:szCs w:val="21"/>
              </w:rPr>
            </w:pPr>
          </w:p>
        </w:tc>
        <w:tc>
          <w:tcPr>
            <w:tcW w:w="3220" w:type="pct"/>
          </w:tcPr>
          <w:p w14:paraId="38B3D81E">
            <w:pPr>
              <w:spacing w:line="400" w:lineRule="exact"/>
              <w:rPr>
                <w:rFonts w:ascii="宋体" w:hAnsi="宋体" w:cs="宋体"/>
                <w:color w:val="auto"/>
                <w:szCs w:val="21"/>
              </w:rPr>
            </w:pPr>
            <w:r>
              <w:rPr>
                <w:rFonts w:hint="eastAsia" w:ascii="宋体" w:hAnsi="宋体" w:cs="宋体"/>
                <w:color w:val="auto"/>
                <w:kern w:val="0"/>
                <w:szCs w:val="21"/>
              </w:rPr>
              <w:t>本项目建设是财经商贸专业群建设的组成部分，资源开发与建设团队需要深刻明晰国家级高水平专业群建设理念与路径且要求服务商单位具备高水平电子商务专业群建设指导经验的团队成员，提供有效证明文件得4分，满分4分；未提供不得分。</w:t>
            </w:r>
          </w:p>
        </w:tc>
        <w:tc>
          <w:tcPr>
            <w:tcW w:w="530" w:type="pct"/>
            <w:vAlign w:val="center"/>
          </w:tcPr>
          <w:p w14:paraId="776030B3">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4</w:t>
            </w:r>
          </w:p>
        </w:tc>
      </w:tr>
      <w:tr w14:paraId="1555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vAlign w:val="center"/>
          </w:tcPr>
          <w:p w14:paraId="71F408D5">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4.3</w:t>
            </w:r>
          </w:p>
        </w:tc>
        <w:tc>
          <w:tcPr>
            <w:tcW w:w="763" w:type="pct"/>
            <w:vMerge w:val="continue"/>
            <w:vAlign w:val="center"/>
          </w:tcPr>
          <w:p w14:paraId="7C1DA9AE">
            <w:pPr>
              <w:adjustRightInd w:val="0"/>
              <w:snapToGrid w:val="0"/>
              <w:spacing w:line="400" w:lineRule="exact"/>
              <w:jc w:val="center"/>
              <w:rPr>
                <w:rFonts w:ascii="宋体" w:hAnsi="宋体" w:cs="宋体"/>
                <w:color w:val="auto"/>
                <w:szCs w:val="21"/>
              </w:rPr>
            </w:pPr>
          </w:p>
        </w:tc>
        <w:tc>
          <w:tcPr>
            <w:tcW w:w="3220" w:type="pct"/>
          </w:tcPr>
          <w:p w14:paraId="5D20A2BA">
            <w:pPr>
              <w:spacing w:line="400" w:lineRule="exact"/>
              <w:rPr>
                <w:rFonts w:ascii="宋体" w:hAnsi="宋体" w:cs="宋体"/>
                <w:color w:val="auto"/>
                <w:kern w:val="0"/>
                <w:szCs w:val="21"/>
              </w:rPr>
            </w:pPr>
            <w:r>
              <w:rPr>
                <w:rFonts w:hint="eastAsia" w:ascii="宋体" w:hAnsi="宋体" w:cs="宋体"/>
                <w:color w:val="auto"/>
                <w:kern w:val="0"/>
                <w:szCs w:val="21"/>
              </w:rPr>
              <w:t>本项目建设需服务职业教育“三教”改革，课程建设要体现“岗课赛证”一体化，服务商课程团队管理人员中具备省级及以上商科竞赛执裁经验的项目负责人，提供其有效证书得3分，满分3分；未提供不得分。（证书原件备查）</w:t>
            </w:r>
          </w:p>
        </w:tc>
        <w:tc>
          <w:tcPr>
            <w:tcW w:w="530" w:type="pct"/>
            <w:vAlign w:val="center"/>
          </w:tcPr>
          <w:p w14:paraId="6D40EBFE">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3</w:t>
            </w:r>
          </w:p>
        </w:tc>
      </w:tr>
      <w:tr w14:paraId="0289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vAlign w:val="center"/>
          </w:tcPr>
          <w:p w14:paraId="603A37C3">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4.4</w:t>
            </w:r>
          </w:p>
        </w:tc>
        <w:tc>
          <w:tcPr>
            <w:tcW w:w="763" w:type="pct"/>
            <w:vMerge w:val="continue"/>
            <w:vAlign w:val="center"/>
          </w:tcPr>
          <w:p w14:paraId="41255141">
            <w:pPr>
              <w:adjustRightInd w:val="0"/>
              <w:snapToGrid w:val="0"/>
              <w:spacing w:line="400" w:lineRule="exact"/>
              <w:jc w:val="center"/>
              <w:rPr>
                <w:rFonts w:ascii="宋体" w:hAnsi="宋体" w:cs="宋体"/>
                <w:color w:val="auto"/>
                <w:szCs w:val="21"/>
              </w:rPr>
            </w:pPr>
          </w:p>
        </w:tc>
        <w:tc>
          <w:tcPr>
            <w:tcW w:w="3220" w:type="pct"/>
          </w:tcPr>
          <w:p w14:paraId="12CBEDC1">
            <w:pPr>
              <w:spacing w:line="400" w:lineRule="exact"/>
              <w:rPr>
                <w:rFonts w:ascii="宋体" w:hAnsi="宋体" w:cs="宋体"/>
                <w:color w:val="auto"/>
                <w:kern w:val="0"/>
                <w:szCs w:val="21"/>
              </w:rPr>
            </w:pPr>
            <w:r>
              <w:rPr>
                <w:rFonts w:hint="eastAsia" w:ascii="宋体" w:hAnsi="宋体" w:cs="宋体"/>
                <w:color w:val="auto"/>
                <w:kern w:val="0"/>
                <w:szCs w:val="21"/>
              </w:rPr>
              <w:t>专业教学资源开发须符合教育部提出的虚拟仿真教学资源要求，服务商单位参与省级电子商务类虚拟仿真基地项目联合申报及建设成功案列，提供其有效证明文件得5分，满分5分；未提供不得分。（证书原件备查）</w:t>
            </w:r>
          </w:p>
        </w:tc>
        <w:tc>
          <w:tcPr>
            <w:tcW w:w="530" w:type="pct"/>
            <w:vAlign w:val="center"/>
          </w:tcPr>
          <w:p w14:paraId="5104D7E0">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5</w:t>
            </w:r>
          </w:p>
        </w:tc>
      </w:tr>
      <w:tr w14:paraId="2521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vAlign w:val="center"/>
          </w:tcPr>
          <w:p w14:paraId="1354E19B">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4.5</w:t>
            </w:r>
          </w:p>
        </w:tc>
        <w:tc>
          <w:tcPr>
            <w:tcW w:w="763" w:type="pct"/>
            <w:vMerge w:val="continue"/>
            <w:vAlign w:val="center"/>
          </w:tcPr>
          <w:p w14:paraId="5670AE24">
            <w:pPr>
              <w:adjustRightInd w:val="0"/>
              <w:snapToGrid w:val="0"/>
              <w:spacing w:line="400" w:lineRule="exact"/>
              <w:jc w:val="center"/>
              <w:rPr>
                <w:rFonts w:ascii="宋体" w:hAnsi="宋体" w:cs="宋体"/>
                <w:color w:val="auto"/>
                <w:szCs w:val="21"/>
              </w:rPr>
            </w:pPr>
          </w:p>
        </w:tc>
        <w:tc>
          <w:tcPr>
            <w:tcW w:w="3220" w:type="pct"/>
          </w:tcPr>
          <w:p w14:paraId="370B4705">
            <w:pPr>
              <w:spacing w:line="400" w:lineRule="exact"/>
              <w:rPr>
                <w:rFonts w:ascii="宋体" w:hAnsi="宋体" w:cs="宋体"/>
                <w:color w:val="auto"/>
                <w:kern w:val="0"/>
                <w:szCs w:val="21"/>
              </w:rPr>
            </w:pPr>
            <w:r>
              <w:rPr>
                <w:rFonts w:hint="eastAsia" w:ascii="宋体" w:hAnsi="宋体" w:cs="宋体"/>
                <w:color w:val="auto"/>
                <w:kern w:val="0"/>
                <w:szCs w:val="21"/>
              </w:rPr>
              <w:t>为实现岗课赛证一体化，服务商具有电子商务专业职业技能等级证书标准研制或教材编写的服务能力，提供有效证明文件得5分，满分5分；未提供不得分。</w:t>
            </w:r>
          </w:p>
        </w:tc>
        <w:tc>
          <w:tcPr>
            <w:tcW w:w="530" w:type="pct"/>
            <w:vAlign w:val="center"/>
          </w:tcPr>
          <w:p w14:paraId="0C98ED47">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5</w:t>
            </w:r>
          </w:p>
        </w:tc>
      </w:tr>
      <w:tr w14:paraId="0B2C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vAlign w:val="center"/>
          </w:tcPr>
          <w:p w14:paraId="6F245AE9">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4.6</w:t>
            </w:r>
          </w:p>
        </w:tc>
        <w:tc>
          <w:tcPr>
            <w:tcW w:w="763" w:type="pct"/>
            <w:vMerge w:val="continue"/>
            <w:vAlign w:val="center"/>
          </w:tcPr>
          <w:p w14:paraId="0982DEAA">
            <w:pPr>
              <w:adjustRightInd w:val="0"/>
              <w:snapToGrid w:val="0"/>
              <w:spacing w:line="400" w:lineRule="exact"/>
              <w:jc w:val="center"/>
              <w:rPr>
                <w:rFonts w:ascii="宋体" w:hAnsi="宋体" w:cs="宋体"/>
                <w:color w:val="auto"/>
                <w:szCs w:val="21"/>
              </w:rPr>
            </w:pPr>
          </w:p>
        </w:tc>
        <w:tc>
          <w:tcPr>
            <w:tcW w:w="3220" w:type="pct"/>
          </w:tcPr>
          <w:p w14:paraId="212F26A4">
            <w:pPr>
              <w:spacing w:line="380" w:lineRule="exact"/>
              <w:rPr>
                <w:rFonts w:ascii="宋体" w:hAnsi="宋体" w:cs="宋体"/>
                <w:color w:val="auto"/>
                <w:kern w:val="0"/>
                <w:szCs w:val="21"/>
              </w:rPr>
            </w:pPr>
            <w:r>
              <w:rPr>
                <w:rFonts w:hint="eastAsia" w:ascii="宋体" w:hAnsi="宋体" w:cs="宋体"/>
                <w:color w:val="auto"/>
              </w:rPr>
              <w:t>服务商单位须具备电子商务专业类资源配套教材服务与开发能力，提供参与国家或教育部认证出版社出版的国家级规划教材编写的有效证明文件得2分，满分2分；未提供不得分。（国家级规划教材书籍备查）</w:t>
            </w:r>
          </w:p>
        </w:tc>
        <w:tc>
          <w:tcPr>
            <w:tcW w:w="530" w:type="pct"/>
            <w:vAlign w:val="center"/>
          </w:tcPr>
          <w:p w14:paraId="071273B2">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w:t>
            </w:r>
          </w:p>
        </w:tc>
      </w:tr>
      <w:tr w14:paraId="1CB4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vAlign w:val="center"/>
          </w:tcPr>
          <w:p w14:paraId="152F6B34">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4.7</w:t>
            </w:r>
          </w:p>
        </w:tc>
        <w:tc>
          <w:tcPr>
            <w:tcW w:w="763" w:type="pct"/>
            <w:vMerge w:val="continue"/>
            <w:vAlign w:val="center"/>
          </w:tcPr>
          <w:p w14:paraId="4DD448A7">
            <w:pPr>
              <w:adjustRightInd w:val="0"/>
              <w:snapToGrid w:val="0"/>
              <w:spacing w:line="400" w:lineRule="exact"/>
              <w:jc w:val="center"/>
              <w:rPr>
                <w:rFonts w:ascii="宋体" w:hAnsi="宋体" w:cs="宋体"/>
                <w:color w:val="auto"/>
                <w:szCs w:val="21"/>
              </w:rPr>
            </w:pPr>
          </w:p>
        </w:tc>
        <w:tc>
          <w:tcPr>
            <w:tcW w:w="3220" w:type="pct"/>
          </w:tcPr>
          <w:p w14:paraId="68AFF1C0">
            <w:pPr>
              <w:spacing w:line="400" w:lineRule="exact"/>
              <w:rPr>
                <w:rFonts w:ascii="宋体" w:hAnsi="宋体" w:cs="宋体"/>
                <w:color w:val="auto"/>
                <w:kern w:val="0"/>
                <w:szCs w:val="21"/>
              </w:rPr>
            </w:pPr>
            <w:r>
              <w:rPr>
                <w:rFonts w:hint="eastAsia" w:ascii="宋体" w:hAnsi="宋体" w:cs="宋体"/>
                <w:color w:val="auto"/>
                <w:kern w:val="0"/>
                <w:szCs w:val="21"/>
              </w:rPr>
              <w:t>为保障数字化资源建设中精准有机的引入产业一线“新技术、新工艺、新规范”，需要服务商团队成员中有具备同类型职业院校电子商务类专业省级产业教授，确保既有产业一线技术能力又有参与职业院校教学改革能力的人员开发资源库课程，提供其有效证明文件得5分，满分5分；未提供不得分（需提供本人有效身份证件复印件并加盖公章）。</w:t>
            </w:r>
          </w:p>
        </w:tc>
        <w:tc>
          <w:tcPr>
            <w:tcW w:w="530" w:type="pct"/>
            <w:vAlign w:val="center"/>
          </w:tcPr>
          <w:p w14:paraId="23B76622">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5</w:t>
            </w:r>
          </w:p>
        </w:tc>
      </w:tr>
      <w:tr w14:paraId="4D50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vAlign w:val="center"/>
          </w:tcPr>
          <w:p w14:paraId="18A9F606">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4.8</w:t>
            </w:r>
          </w:p>
        </w:tc>
        <w:tc>
          <w:tcPr>
            <w:tcW w:w="763" w:type="pct"/>
            <w:vMerge w:val="continue"/>
            <w:vAlign w:val="center"/>
          </w:tcPr>
          <w:p w14:paraId="08413A28">
            <w:pPr>
              <w:adjustRightInd w:val="0"/>
              <w:snapToGrid w:val="0"/>
              <w:spacing w:line="400" w:lineRule="exact"/>
              <w:jc w:val="center"/>
              <w:rPr>
                <w:rFonts w:ascii="宋体" w:hAnsi="宋体" w:cs="宋体"/>
                <w:color w:val="auto"/>
                <w:szCs w:val="21"/>
              </w:rPr>
            </w:pPr>
          </w:p>
        </w:tc>
        <w:tc>
          <w:tcPr>
            <w:tcW w:w="3220" w:type="pct"/>
          </w:tcPr>
          <w:p w14:paraId="706BF702">
            <w:pPr>
              <w:spacing w:line="400" w:lineRule="exact"/>
              <w:rPr>
                <w:rFonts w:ascii="宋体" w:hAnsi="宋体" w:cs="宋体"/>
                <w:color w:val="auto"/>
                <w:kern w:val="0"/>
                <w:szCs w:val="21"/>
              </w:rPr>
            </w:pPr>
            <w:r>
              <w:rPr>
                <w:rFonts w:hint="eastAsia" w:ascii="宋体" w:hAnsi="宋体" w:cs="宋体"/>
                <w:color w:val="auto"/>
                <w:kern w:val="0"/>
                <w:szCs w:val="21"/>
              </w:rPr>
              <w:t>要求服务供应商具备省级及以上电子商务、跨境电子商务等专业技能大赛服务能力，提供有效证明文件得4分，满分4分，未提供不得分；</w:t>
            </w:r>
          </w:p>
        </w:tc>
        <w:tc>
          <w:tcPr>
            <w:tcW w:w="530" w:type="pct"/>
            <w:vAlign w:val="center"/>
          </w:tcPr>
          <w:p w14:paraId="26643AEC">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4</w:t>
            </w:r>
          </w:p>
        </w:tc>
      </w:tr>
      <w:tr w14:paraId="5A95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vAlign w:val="center"/>
          </w:tcPr>
          <w:p w14:paraId="3CD91479">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5</w:t>
            </w:r>
          </w:p>
        </w:tc>
        <w:tc>
          <w:tcPr>
            <w:tcW w:w="763" w:type="pct"/>
            <w:vAlign w:val="center"/>
          </w:tcPr>
          <w:p w14:paraId="6ACA5D0A">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业绩合同</w:t>
            </w:r>
          </w:p>
          <w:p w14:paraId="44009D16">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（2分）</w:t>
            </w:r>
          </w:p>
        </w:tc>
        <w:tc>
          <w:tcPr>
            <w:tcW w:w="3220" w:type="pct"/>
          </w:tcPr>
          <w:p w14:paraId="6631E6DB">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服务商自2021年以来具有课程资源库开发制作合同案例，每提供一个得1分，满分2分。未提供不得分（提供有效复印件并加盖公章）。</w:t>
            </w:r>
          </w:p>
        </w:tc>
        <w:tc>
          <w:tcPr>
            <w:tcW w:w="530" w:type="pct"/>
            <w:vAlign w:val="center"/>
          </w:tcPr>
          <w:p w14:paraId="0A5E8B59">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w:t>
            </w:r>
          </w:p>
        </w:tc>
      </w:tr>
      <w:tr w14:paraId="139F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gridSpan w:val="4"/>
          </w:tcPr>
          <w:p w14:paraId="16EECB3F">
            <w:pPr>
              <w:widowControl/>
              <w:spacing w:line="400" w:lineRule="exact"/>
              <w:rPr>
                <w:rFonts w:ascii="宋体" w:hAnsi="宋体" w:cs="宋体"/>
                <w:color w:val="auto"/>
                <w:kern w:val="0"/>
                <w:szCs w:val="21"/>
              </w:rPr>
            </w:pPr>
            <w:r>
              <w:rPr>
                <w:rFonts w:hint="eastAsia" w:ascii="宋体" w:hAnsi="宋体" w:cs="宋体"/>
                <w:b/>
                <w:bCs/>
                <w:color w:val="auto"/>
                <w:kern w:val="0"/>
                <w:szCs w:val="21"/>
              </w:rPr>
              <w:t>总得分＝1＋2＋3＋4＋5</w:t>
            </w:r>
          </w:p>
        </w:tc>
      </w:tr>
    </w:tbl>
    <w:p w14:paraId="72B84C18">
      <w:pPr>
        <w:snapToGrid w:val="0"/>
        <w:spacing w:line="360" w:lineRule="auto"/>
        <w:ind w:firstLine="420" w:firstLineChars="200"/>
        <w:rPr>
          <w:rFonts w:ascii="宋体" w:hAnsi="宋体" w:cs="宋体"/>
          <w:kern w:val="0"/>
          <w:sz w:val="24"/>
        </w:rPr>
      </w:pPr>
      <w:r>
        <w:br w:type="page"/>
      </w:r>
      <w:r>
        <w:rPr>
          <w:rFonts w:hint="eastAsia" w:ascii="宋体" w:hAnsi="宋体" w:cs="宋体"/>
          <w:kern w:val="0"/>
          <w:sz w:val="24"/>
        </w:rPr>
        <w:t>（一）成交标准：</w:t>
      </w:r>
    </w:p>
    <w:p w14:paraId="17E12322">
      <w:pPr>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磋商小组将按总得分由高到低排列成交候选供</w:t>
      </w:r>
      <w:r>
        <w:rPr>
          <w:rFonts w:hint="eastAsia" w:ascii="宋体" w:hAnsi="宋体" w:cs="宋体"/>
          <w:sz w:val="24"/>
        </w:rPr>
        <w:t>应商顺序（总得分相同时，依次按磋商报价低优先、技术分高优先、质量保证期长优先、处理问题到达时间短优先的顺序排列），并依照次序确定成交供应商；前述指标均相同时，由磋商小组各成员对供应商当场投票表决，得票多者优先；按前述程序仍无法确定供应商排名顺序的，由磋商小组抽签决定），并依照次序确定成交供</w:t>
      </w:r>
      <w:r>
        <w:rPr>
          <w:rFonts w:hint="eastAsia" w:ascii="宋体" w:hAnsi="宋体" w:cs="宋体"/>
          <w:kern w:val="0"/>
          <w:sz w:val="24"/>
        </w:rPr>
        <w:t>应商。</w:t>
      </w:r>
    </w:p>
    <w:p w14:paraId="1EB82B46">
      <w:pPr>
        <w:snapToGrid w:val="0"/>
        <w:spacing w:line="360" w:lineRule="auto"/>
        <w:ind w:firstLine="480" w:firstLineChars="200"/>
        <w:rPr>
          <w:rFonts w:ascii="宋体" w:hAnsi="宋体" w:cs="宋体"/>
          <w:sz w:val="24"/>
        </w:rPr>
      </w:pPr>
      <w:r>
        <w:rPr>
          <w:rFonts w:hint="eastAsia" w:ascii="宋体" w:hAnsi="宋体" w:cs="宋体"/>
          <w:sz w:val="24"/>
        </w:rPr>
        <w:t>2、符合《政府采购竞争性磋商采购方式管理暂行办法》（财库[2014]214号）第二十一条第三款情形规定（即市场竞争不充分的科研项目或需要扶持科技成果转换项目），在符合专业条件的供应商或者对招标文件作实质性响应的供应商不少于三家的前提下，且提交最后报价的供应商有2家的，其采购活动可以继续进行。</w:t>
      </w:r>
    </w:p>
    <w:p w14:paraId="0F363095">
      <w:pPr>
        <w:snapToGrid w:val="0"/>
        <w:spacing w:line="360" w:lineRule="auto"/>
        <w:ind w:firstLine="480" w:firstLineChars="200"/>
        <w:rPr>
          <w:rFonts w:ascii="宋体" w:hAnsi="宋体" w:cs="宋体"/>
          <w:sz w:val="24"/>
        </w:rPr>
      </w:pPr>
      <w:r>
        <w:rPr>
          <w:rFonts w:hint="eastAsia" w:ascii="宋体" w:hAnsi="宋体" w:cs="宋体"/>
          <w:sz w:val="24"/>
        </w:rPr>
        <w:t>3、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E102CAB">
      <w:pPr>
        <w:pStyle w:val="14"/>
        <w:snapToGrid w:val="0"/>
        <w:spacing w:after="0" w:line="360" w:lineRule="auto"/>
        <w:ind w:firstLine="482" w:firstLineChars="200"/>
        <w:rPr>
          <w:rFonts w:ascii="宋体" w:hAnsi="宋体" w:cs="宋体"/>
          <w:b/>
          <w:sz w:val="24"/>
        </w:rPr>
      </w:pPr>
      <w:r>
        <w:rPr>
          <w:rFonts w:hint="eastAsia" w:ascii="宋体" w:hAnsi="宋体" w:cs="宋体"/>
          <w:b/>
          <w:bCs/>
          <w:sz w:val="24"/>
        </w:rPr>
        <w:t>4、磋</w:t>
      </w:r>
      <w:r>
        <w:rPr>
          <w:rFonts w:hint="eastAsia" w:ascii="宋体" w:hAnsi="宋体" w:cs="宋体"/>
          <w:b/>
          <w:sz w:val="24"/>
        </w:rPr>
        <w:t>商小组认为，某磋商供应商的最低磋商报价明显不合理或者低于成本，有可能影响服务质量和不能诚信履约的，应当要求其在规定的期限内提供书面文件予以解释说明，并提交相关证明材料。磋商供应不能合理说明或者不能提供相关证明材料的，视作该磋商供应商以低于成本报价响应，其响应无效。</w:t>
      </w:r>
    </w:p>
    <w:p w14:paraId="44A7D75C">
      <w:pPr>
        <w:spacing w:line="360" w:lineRule="auto"/>
        <w:rPr>
          <w:rFonts w:ascii="宋体" w:hAnsi="宋体" w:cs="宋体"/>
        </w:rPr>
        <w:sectPr>
          <w:footerReference r:id="rId5" w:type="default"/>
          <w:pgSz w:w="11906" w:h="16838"/>
          <w:pgMar w:top="1134" w:right="1134" w:bottom="1134" w:left="1134" w:header="720" w:footer="720" w:gutter="0"/>
          <w:pgNumType w:start="1"/>
          <w:cols w:space="720" w:num="1"/>
          <w:docGrid w:type="lines" w:linePitch="331" w:charSpace="0"/>
        </w:sectPr>
      </w:pPr>
    </w:p>
    <w:p w14:paraId="41ADF3CF">
      <w:pPr>
        <w:widowControl/>
        <w:jc w:val="left"/>
      </w:pPr>
    </w:p>
    <w:p w14:paraId="54573A71">
      <w:pPr>
        <w:pStyle w:val="2"/>
      </w:pPr>
      <w:r>
        <w:rPr>
          <w:rFonts w:hint="eastAsia"/>
        </w:rPr>
        <w:t>第五章 响应文件格式</w:t>
      </w:r>
      <w:bookmarkEnd w:id="92"/>
      <w:bookmarkEnd w:id="93"/>
      <w:bookmarkEnd w:id="94"/>
      <w:bookmarkEnd w:id="95"/>
      <w:bookmarkEnd w:id="96"/>
    </w:p>
    <w:p w14:paraId="01963A9A"/>
    <w:p w14:paraId="6ABB2BC5">
      <w:pPr>
        <w:pStyle w:val="40"/>
        <w:ind w:firstLine="420"/>
      </w:pPr>
    </w:p>
    <w:p w14:paraId="7FEC83DB"/>
    <w:p w14:paraId="3F3E5026">
      <w:bookmarkStart w:id="97" w:name="_Toc44229900"/>
    </w:p>
    <w:p w14:paraId="5055DC62">
      <w:pPr>
        <w:rPr>
          <w:sz w:val="32"/>
          <w:szCs w:val="32"/>
        </w:rPr>
      </w:pPr>
      <w:bookmarkStart w:id="98" w:name="_Toc44229898"/>
      <w:r>
        <w:rPr>
          <w:rFonts w:hint="eastAsia"/>
          <w:sz w:val="32"/>
          <w:szCs w:val="32"/>
        </w:rPr>
        <w:t>（</w:t>
      </w:r>
      <w:bookmarkStart w:id="99" w:name="_Toc35611515"/>
      <w:bookmarkStart w:id="100" w:name="_Toc35611437"/>
      <w:r>
        <w:rPr>
          <w:rFonts w:hint="eastAsia"/>
          <w:sz w:val="32"/>
          <w:szCs w:val="32"/>
        </w:rPr>
        <w:t>响应文件外层包装封面格式</w:t>
      </w:r>
      <w:bookmarkEnd w:id="99"/>
      <w:bookmarkEnd w:id="100"/>
      <w:r>
        <w:rPr>
          <w:rFonts w:hint="eastAsia"/>
          <w:sz w:val="32"/>
          <w:szCs w:val="32"/>
        </w:rPr>
        <w:t xml:space="preserve"> ）</w:t>
      </w:r>
      <w:bookmarkEnd w:id="98"/>
    </w:p>
    <w:p w14:paraId="275CC359">
      <w:pPr>
        <w:snapToGrid w:val="0"/>
        <w:spacing w:before="156" w:beforeLines="50" w:after="50"/>
        <w:rPr>
          <w:rFonts w:ascii="宋体" w:hAnsi="宋体"/>
          <w:sz w:val="24"/>
          <w:szCs w:val="20"/>
        </w:rPr>
      </w:pPr>
    </w:p>
    <w:p w14:paraId="57630212">
      <w:pPr>
        <w:snapToGrid w:val="0"/>
        <w:spacing w:before="156" w:beforeLines="50" w:after="50"/>
        <w:jc w:val="center"/>
        <w:rPr>
          <w:rFonts w:ascii="宋体" w:hAnsi="宋体"/>
          <w:bCs/>
          <w:sz w:val="24"/>
          <w:szCs w:val="20"/>
        </w:rPr>
      </w:pPr>
    </w:p>
    <w:p w14:paraId="7A1CE92C">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13F80C76">
      <w:pPr>
        <w:snapToGrid w:val="0"/>
        <w:spacing w:before="156" w:beforeLines="50" w:after="50"/>
        <w:rPr>
          <w:rFonts w:ascii="宋体" w:hAnsi="宋体"/>
          <w:bCs/>
          <w:sz w:val="24"/>
          <w:szCs w:val="20"/>
        </w:rPr>
      </w:pPr>
    </w:p>
    <w:p w14:paraId="2CC387E0">
      <w:pPr>
        <w:snapToGrid w:val="0"/>
        <w:spacing w:before="156" w:beforeLines="50" w:after="50"/>
        <w:rPr>
          <w:rFonts w:ascii="仿宋_GB2312" w:hAnsi="仿宋_GB2312" w:eastAsia="仿宋_GB2312" w:cs="仿宋_GB2312"/>
          <w:bCs/>
          <w:sz w:val="32"/>
          <w:szCs w:val="32"/>
        </w:rPr>
      </w:pPr>
    </w:p>
    <w:p w14:paraId="1D60AAC6">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14:paraId="73DC2088">
      <w:pPr>
        <w:snapToGrid w:val="0"/>
        <w:spacing w:before="156" w:beforeLines="50" w:after="50"/>
        <w:ind w:firstLine="480" w:firstLineChars="150"/>
        <w:rPr>
          <w:rFonts w:ascii="仿宋_GB2312" w:hAnsi="仿宋_GB2312" w:eastAsia="仿宋_GB2312" w:cs="仿宋_GB2312"/>
          <w:bCs/>
          <w:sz w:val="32"/>
          <w:szCs w:val="32"/>
        </w:rPr>
      </w:pPr>
    </w:p>
    <w:p w14:paraId="374DFD75">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14:paraId="69AF7C3A">
      <w:pPr>
        <w:snapToGrid w:val="0"/>
        <w:spacing w:before="156" w:beforeLines="50" w:after="50"/>
        <w:ind w:firstLine="480" w:firstLineChars="150"/>
        <w:rPr>
          <w:rFonts w:ascii="仿宋_GB2312" w:hAnsi="仿宋_GB2312" w:eastAsia="仿宋_GB2312" w:cs="仿宋_GB2312"/>
          <w:bCs/>
          <w:sz w:val="32"/>
          <w:szCs w:val="32"/>
        </w:rPr>
      </w:pPr>
    </w:p>
    <w:p w14:paraId="61DCAC86">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所竞分标（如有则填写，无分标时填写“无”或者留空）：</w:t>
      </w:r>
    </w:p>
    <w:p w14:paraId="1A6CEC55">
      <w:pPr>
        <w:snapToGrid w:val="0"/>
        <w:spacing w:before="156" w:beforeLines="50" w:after="50"/>
        <w:rPr>
          <w:rFonts w:ascii="仿宋_GB2312" w:hAnsi="仿宋_GB2312" w:eastAsia="仿宋_GB2312" w:cs="仿宋_GB2312"/>
          <w:bCs/>
          <w:sz w:val="32"/>
          <w:szCs w:val="32"/>
        </w:rPr>
      </w:pPr>
    </w:p>
    <w:p w14:paraId="733D5317">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14:paraId="37657DDE">
      <w:pPr>
        <w:snapToGrid w:val="0"/>
        <w:spacing w:before="156" w:beforeLines="50" w:after="50"/>
        <w:rPr>
          <w:rFonts w:ascii="仿宋_GB2312" w:hAnsi="仿宋_GB2312" w:eastAsia="仿宋_GB2312" w:cs="仿宋_GB2312"/>
          <w:bCs/>
          <w:sz w:val="32"/>
          <w:szCs w:val="32"/>
        </w:rPr>
      </w:pPr>
    </w:p>
    <w:p w14:paraId="4A188504">
      <w:pPr>
        <w:snapToGrid w:val="0"/>
        <w:spacing w:before="156" w:beforeLines="50" w:after="50"/>
        <w:ind w:firstLine="480" w:firstLineChars="15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首次响应文件提交截止时间前不得启封</w:t>
      </w:r>
    </w:p>
    <w:p w14:paraId="63A87552">
      <w:pPr>
        <w:snapToGrid w:val="0"/>
        <w:spacing w:before="156" w:beforeLines="50" w:after="50"/>
        <w:ind w:firstLine="5440" w:firstLineChars="1700"/>
        <w:jc w:val="center"/>
        <w:rPr>
          <w:rFonts w:ascii="仿宋_GB2312" w:hAnsi="仿宋_GB2312" w:eastAsia="仿宋_GB2312" w:cs="仿宋_GB2312"/>
          <w:bCs/>
          <w:sz w:val="32"/>
          <w:szCs w:val="32"/>
        </w:rPr>
      </w:pPr>
    </w:p>
    <w:p w14:paraId="046B4459">
      <w:pPr>
        <w:snapToGrid w:val="0"/>
        <w:spacing w:before="156" w:beforeLines="50" w:after="50"/>
        <w:ind w:firstLine="645"/>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年    月    日</w:t>
      </w:r>
    </w:p>
    <w:p w14:paraId="2E6F4703">
      <w:pPr>
        <w:spacing w:line="240" w:lineRule="atLeast"/>
        <w:rPr>
          <w:rFonts w:ascii="宋体" w:hAnsi="宋体"/>
          <w:bCs/>
          <w:sz w:val="32"/>
          <w:szCs w:val="32"/>
        </w:rPr>
      </w:pPr>
      <w:r>
        <w:rPr>
          <w:rFonts w:ascii="宋体" w:hAnsi="宋体"/>
          <w:bCs/>
          <w:sz w:val="24"/>
        </w:rPr>
        <w:br w:type="page"/>
      </w:r>
      <w:r>
        <w:rPr>
          <w:rFonts w:hint="eastAsia" w:ascii="宋体" w:hAnsi="宋体"/>
          <w:b/>
          <w:bCs/>
          <w:sz w:val="32"/>
          <w:szCs w:val="32"/>
        </w:rPr>
        <w:t>（响应文件封面格式）</w:t>
      </w:r>
    </w:p>
    <w:p w14:paraId="672E1D75">
      <w:pPr>
        <w:spacing w:line="240" w:lineRule="atLeast"/>
        <w:jc w:val="center"/>
        <w:rPr>
          <w:rFonts w:ascii="宋体" w:hAnsi="宋体"/>
          <w:bCs/>
          <w:sz w:val="24"/>
        </w:rPr>
      </w:pPr>
    </w:p>
    <w:p w14:paraId="23B0287F">
      <w:pPr>
        <w:snapToGrid w:val="0"/>
        <w:spacing w:before="156" w:beforeLines="50" w:after="50"/>
        <w:jc w:val="right"/>
        <w:rPr>
          <w:rFonts w:ascii="宋体" w:hAnsi="宋体"/>
          <w:bCs/>
          <w:sz w:val="32"/>
          <w:szCs w:val="20"/>
        </w:rPr>
      </w:pPr>
      <w:r>
        <w:rPr>
          <w:rFonts w:hint="eastAsia" w:ascii="宋体" w:hAnsi="宋体"/>
          <w:sz w:val="24"/>
        </w:rPr>
        <w:t xml:space="preserve"> </w:t>
      </w:r>
      <w:r>
        <w:rPr>
          <w:rFonts w:hint="eastAsia" w:ascii="宋体" w:hAnsi="宋体"/>
          <w:bCs/>
        </w:rPr>
        <w:t>正本/副本</w:t>
      </w:r>
    </w:p>
    <w:p w14:paraId="49F868A9">
      <w:pPr>
        <w:spacing w:line="240" w:lineRule="atLeast"/>
        <w:jc w:val="right"/>
        <w:rPr>
          <w:rFonts w:ascii="宋体" w:hAnsi="宋体"/>
          <w:bCs/>
          <w:sz w:val="24"/>
        </w:rPr>
      </w:pPr>
    </w:p>
    <w:p w14:paraId="4AC566FA">
      <w:pPr>
        <w:spacing w:line="240" w:lineRule="atLeast"/>
        <w:jc w:val="center"/>
        <w:rPr>
          <w:rFonts w:ascii="宋体" w:hAnsi="宋体"/>
          <w:bCs/>
          <w:sz w:val="24"/>
        </w:rPr>
      </w:pPr>
    </w:p>
    <w:p w14:paraId="34B8DA19">
      <w:pPr>
        <w:spacing w:line="240" w:lineRule="atLeast"/>
        <w:jc w:val="center"/>
        <w:rPr>
          <w:rFonts w:ascii="方正小标宋简体" w:hAnsi="方正小标宋简体" w:eastAsia="方正小标宋简体" w:cs="方正小标宋简体"/>
          <w:bCs/>
          <w:sz w:val="44"/>
          <w:szCs w:val="44"/>
        </w:rPr>
      </w:pPr>
    </w:p>
    <w:p w14:paraId="664E734E">
      <w:pPr>
        <w:spacing w:line="240" w:lineRule="atLeast"/>
        <w:jc w:val="center"/>
        <w:rPr>
          <w:rFonts w:ascii="方正小标宋简体" w:hAnsi="方正小标宋简体" w:eastAsia="方正小标宋简体" w:cs="方正小标宋简体"/>
          <w:bCs/>
          <w:sz w:val="44"/>
          <w:szCs w:val="44"/>
        </w:rPr>
      </w:pPr>
    </w:p>
    <w:p w14:paraId="63B48317">
      <w:pPr>
        <w:spacing w:line="240" w:lineRule="atLeast"/>
        <w:jc w:val="center"/>
        <w:rPr>
          <w:rFonts w:ascii="宋体" w:hAnsi="宋体"/>
          <w:b/>
          <w:sz w:val="32"/>
          <w:szCs w:val="32"/>
        </w:rPr>
      </w:pPr>
      <w:r>
        <w:rPr>
          <w:rFonts w:hint="eastAsia" w:ascii="方正小标宋简体" w:hAnsi="方正小标宋简体" w:eastAsia="方正小标宋简体" w:cs="方正小标宋简体"/>
          <w:bCs/>
          <w:sz w:val="44"/>
          <w:szCs w:val="44"/>
        </w:rPr>
        <w:t>响  应  文  件</w:t>
      </w:r>
      <w:r>
        <w:rPr>
          <w:rFonts w:hint="eastAsia" w:ascii="宋体" w:hAnsi="宋体"/>
          <w:b/>
          <w:sz w:val="32"/>
          <w:szCs w:val="32"/>
        </w:rPr>
        <w:t xml:space="preserve"> </w:t>
      </w:r>
      <w:r>
        <w:rPr>
          <w:rFonts w:hint="eastAsia" w:ascii="宋体" w:hAnsi="宋体"/>
          <w:szCs w:val="21"/>
        </w:rPr>
        <w:t>(封面)</w:t>
      </w:r>
    </w:p>
    <w:p w14:paraId="42A91FBB">
      <w:pPr>
        <w:spacing w:line="360" w:lineRule="auto"/>
        <w:jc w:val="center"/>
        <w:rPr>
          <w:rFonts w:ascii="宋体" w:hAnsi="宋体"/>
          <w:szCs w:val="21"/>
        </w:rPr>
      </w:pPr>
    </w:p>
    <w:p w14:paraId="19E85A56">
      <w:pPr>
        <w:spacing w:line="360" w:lineRule="auto"/>
        <w:jc w:val="center"/>
        <w:rPr>
          <w:rFonts w:ascii="宋体" w:hAnsi="宋体"/>
          <w:szCs w:val="21"/>
        </w:rPr>
      </w:pPr>
    </w:p>
    <w:p w14:paraId="37BDC34F">
      <w:pPr>
        <w:spacing w:line="360" w:lineRule="auto"/>
        <w:jc w:val="center"/>
        <w:rPr>
          <w:rFonts w:ascii="宋体" w:hAnsi="宋体"/>
          <w:szCs w:val="21"/>
        </w:rPr>
      </w:pPr>
    </w:p>
    <w:p w14:paraId="34DCC739">
      <w:pPr>
        <w:spacing w:line="360" w:lineRule="auto"/>
        <w:jc w:val="center"/>
        <w:rPr>
          <w:rFonts w:ascii="宋体" w:hAnsi="宋体"/>
          <w:szCs w:val="21"/>
        </w:rPr>
      </w:pPr>
    </w:p>
    <w:p w14:paraId="1F39DB95">
      <w:pPr>
        <w:spacing w:line="360" w:lineRule="auto"/>
        <w:jc w:val="left"/>
        <w:rPr>
          <w:rFonts w:ascii="仿宋_GB2312" w:hAnsi="仿宋_GB2312" w:eastAsia="仿宋_GB2312" w:cs="仿宋_GB2312"/>
          <w:sz w:val="32"/>
          <w:szCs w:val="32"/>
        </w:rPr>
      </w:pPr>
    </w:p>
    <w:p w14:paraId="6C379058">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项目编号：</w:t>
      </w:r>
    </w:p>
    <w:p w14:paraId="7BA9E916">
      <w:pPr>
        <w:spacing w:line="360" w:lineRule="auto"/>
        <w:ind w:firstLine="640" w:firstLineChars="200"/>
        <w:jc w:val="left"/>
        <w:rPr>
          <w:rFonts w:ascii="仿宋_GB2312" w:hAnsi="仿宋_GB2312" w:eastAsia="仿宋_GB2312" w:cs="仿宋_GB2312"/>
          <w:sz w:val="32"/>
          <w:szCs w:val="32"/>
          <w:u w:val="single"/>
        </w:rPr>
      </w:pPr>
    </w:p>
    <w:p w14:paraId="554A3CC4">
      <w:pPr>
        <w:tabs>
          <w:tab w:val="left" w:pos="3240"/>
        </w:tabs>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14:paraId="46C25F94">
      <w:pPr>
        <w:tabs>
          <w:tab w:val="left" w:pos="3240"/>
        </w:tabs>
        <w:spacing w:line="360" w:lineRule="auto"/>
        <w:ind w:firstLine="640" w:firstLineChars="200"/>
        <w:jc w:val="left"/>
        <w:rPr>
          <w:rFonts w:ascii="仿宋_GB2312" w:hAnsi="仿宋_GB2312" w:eastAsia="仿宋_GB2312" w:cs="仿宋_GB2312"/>
          <w:sz w:val="32"/>
          <w:szCs w:val="32"/>
          <w:u w:val="single"/>
        </w:rPr>
      </w:pPr>
    </w:p>
    <w:p w14:paraId="375CBC39">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所竞分标</w:t>
      </w:r>
      <w:r>
        <w:rPr>
          <w:rFonts w:hint="eastAsia" w:ascii="仿宋_GB2312" w:hAnsi="仿宋_GB2312" w:eastAsia="仿宋_GB2312" w:cs="仿宋_GB2312"/>
          <w:bCs/>
          <w:sz w:val="32"/>
          <w:szCs w:val="32"/>
        </w:rPr>
        <w:t>（如有则填写，无分标时填写“无”或者留空）</w:t>
      </w:r>
      <w:r>
        <w:rPr>
          <w:rFonts w:hint="eastAsia" w:ascii="仿宋_GB2312" w:hAnsi="仿宋_GB2312" w:eastAsia="仿宋_GB2312" w:cs="仿宋_GB2312"/>
          <w:sz w:val="32"/>
          <w:szCs w:val="32"/>
        </w:rPr>
        <w:t>：</w:t>
      </w:r>
    </w:p>
    <w:p w14:paraId="5964BDE7">
      <w:pPr>
        <w:spacing w:line="360" w:lineRule="auto"/>
        <w:ind w:firstLine="640" w:firstLineChars="200"/>
        <w:jc w:val="left"/>
        <w:rPr>
          <w:rFonts w:ascii="仿宋_GB2312" w:hAnsi="仿宋_GB2312" w:eastAsia="仿宋_GB2312" w:cs="仿宋_GB2312"/>
          <w:sz w:val="32"/>
          <w:szCs w:val="32"/>
          <w:u w:val="single"/>
        </w:rPr>
      </w:pPr>
    </w:p>
    <w:p w14:paraId="2B8B7C3F">
      <w:pPr>
        <w:spacing w:line="360" w:lineRule="auto"/>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供应商名称：</w:t>
      </w:r>
    </w:p>
    <w:p w14:paraId="42790BFD">
      <w:pPr>
        <w:snapToGrid w:val="0"/>
        <w:spacing w:before="156" w:beforeLines="50" w:after="50"/>
        <w:rPr>
          <w:rFonts w:ascii="仿宋_GB2312" w:hAnsi="仿宋_GB2312" w:eastAsia="仿宋_GB2312" w:cs="仿宋_GB2312"/>
          <w:sz w:val="32"/>
          <w:szCs w:val="32"/>
        </w:rPr>
      </w:pPr>
    </w:p>
    <w:p w14:paraId="2C9FE3B6">
      <w:pPr>
        <w:snapToGrid w:val="0"/>
        <w:spacing w:before="156"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2DC3EC46">
      <w:pPr>
        <w:snapToGrid w:val="0"/>
        <w:spacing w:before="156" w:beforeLines="50" w:after="50"/>
        <w:jc w:val="center"/>
        <w:rPr>
          <w:rFonts w:ascii="仿宋_GB2312" w:hAnsi="仿宋_GB2312" w:eastAsia="仿宋_GB2312" w:cs="仿宋_GB2312"/>
          <w:bCs/>
          <w:sz w:val="32"/>
          <w:szCs w:val="32"/>
        </w:rPr>
      </w:pPr>
      <w:r>
        <w:rPr>
          <w:rFonts w:ascii="仿宋_GB2312" w:hAnsi="仿宋_GB2312" w:eastAsia="仿宋_GB2312" w:cs="仿宋_GB2312"/>
          <w:sz w:val="32"/>
          <w:szCs w:val="32"/>
        </w:rPr>
        <w:br w:type="page"/>
      </w:r>
    </w:p>
    <w:p w14:paraId="6A3608EB">
      <w:pPr>
        <w:snapToGrid w:val="0"/>
        <w:spacing w:before="156" w:beforeLines="50" w:after="50" w:line="360" w:lineRule="auto"/>
        <w:ind w:right="480" w:firstLine="321" w:firstLineChars="100"/>
        <w:rPr>
          <w:rFonts w:ascii="宋体" w:hAnsi="宋体"/>
          <w:b/>
          <w:bCs/>
          <w:sz w:val="32"/>
          <w:szCs w:val="32"/>
        </w:rPr>
      </w:pPr>
      <w:bookmarkStart w:id="101" w:name="_Toc31723070"/>
      <w:bookmarkStart w:id="102" w:name="_Toc31728084"/>
      <w:bookmarkStart w:id="103" w:name="_Toc35611516"/>
      <w:bookmarkStart w:id="104" w:name="_Toc35611438"/>
      <w:bookmarkStart w:id="105" w:name="_Toc44229899"/>
      <w:r>
        <w:rPr>
          <w:rFonts w:hint="eastAsia" w:ascii="宋体" w:hAnsi="宋体"/>
          <w:b/>
          <w:bCs/>
          <w:sz w:val="32"/>
          <w:szCs w:val="32"/>
        </w:rPr>
        <w:t>一、资格证明文件格式</w:t>
      </w:r>
      <w:bookmarkEnd w:id="101"/>
      <w:bookmarkEnd w:id="102"/>
      <w:bookmarkEnd w:id="103"/>
      <w:bookmarkEnd w:id="104"/>
      <w:bookmarkEnd w:id="105"/>
    </w:p>
    <w:p w14:paraId="6194D091">
      <w:pPr>
        <w:snapToGrid w:val="0"/>
        <w:spacing w:before="156" w:beforeLines="50" w:after="50" w:line="360" w:lineRule="auto"/>
        <w:jc w:val="left"/>
        <w:rPr>
          <w:rFonts w:ascii="宋体" w:hAnsi="宋体"/>
          <w:b/>
          <w:sz w:val="24"/>
        </w:rPr>
      </w:pPr>
      <w:r>
        <w:rPr>
          <w:rFonts w:hint="eastAsia" w:ascii="宋体" w:hAnsi="宋体"/>
          <w:b/>
          <w:sz w:val="32"/>
          <w:szCs w:val="32"/>
        </w:rPr>
        <w:t>1.资格证明文件封面格式：</w:t>
      </w:r>
      <w:r>
        <w:rPr>
          <w:rFonts w:hint="eastAsia" w:ascii="宋体" w:hAnsi="宋体"/>
          <w:b/>
          <w:sz w:val="24"/>
        </w:rPr>
        <w:t xml:space="preserve"> </w:t>
      </w:r>
    </w:p>
    <w:p w14:paraId="7DB8BC23">
      <w:pPr>
        <w:snapToGrid w:val="0"/>
        <w:spacing w:before="156" w:beforeLines="50" w:after="50"/>
        <w:rPr>
          <w:rFonts w:ascii="宋体" w:hAnsi="宋体"/>
          <w:bCs/>
          <w:sz w:val="32"/>
          <w:szCs w:val="20"/>
        </w:rPr>
      </w:pPr>
      <w:r>
        <w:rPr>
          <w:rFonts w:hint="eastAsia" w:ascii="宋体" w:hAnsi="宋体"/>
          <w:sz w:val="24"/>
        </w:rPr>
        <w:t xml:space="preserve">                                                    </w:t>
      </w:r>
      <w:r>
        <w:rPr>
          <w:rFonts w:hint="eastAsia" w:ascii="宋体" w:hAnsi="宋体"/>
          <w:bCs/>
        </w:rPr>
        <w:t>正本/副本</w:t>
      </w:r>
    </w:p>
    <w:p w14:paraId="3AEBF42C">
      <w:pPr>
        <w:snapToGrid w:val="0"/>
        <w:spacing w:before="156" w:beforeLines="50" w:after="50"/>
        <w:rPr>
          <w:rFonts w:ascii="宋体" w:hAnsi="宋体"/>
          <w:sz w:val="24"/>
          <w:szCs w:val="20"/>
        </w:rPr>
      </w:pPr>
    </w:p>
    <w:p w14:paraId="0EA0190A">
      <w:pPr>
        <w:snapToGrid w:val="0"/>
        <w:spacing w:before="156" w:beforeLines="50" w:after="50"/>
        <w:rPr>
          <w:rFonts w:ascii="宋体" w:hAnsi="宋体"/>
          <w:sz w:val="24"/>
          <w:szCs w:val="20"/>
        </w:rPr>
      </w:pPr>
    </w:p>
    <w:p w14:paraId="066C52CF">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14:paraId="0491B581">
      <w:pPr>
        <w:snapToGrid w:val="0"/>
        <w:spacing w:before="156" w:beforeLines="50" w:after="50"/>
        <w:rPr>
          <w:rFonts w:ascii="宋体" w:hAnsi="宋体"/>
          <w:bCs/>
          <w:sz w:val="24"/>
          <w:szCs w:val="20"/>
        </w:rPr>
      </w:pPr>
    </w:p>
    <w:p w14:paraId="7643C73C">
      <w:pPr>
        <w:snapToGrid w:val="0"/>
        <w:spacing w:before="156" w:beforeLines="50" w:after="50"/>
        <w:rPr>
          <w:rFonts w:ascii="宋体" w:hAnsi="宋体"/>
          <w:bCs/>
          <w:sz w:val="24"/>
          <w:szCs w:val="20"/>
        </w:rPr>
      </w:pPr>
    </w:p>
    <w:p w14:paraId="5D12D5BC">
      <w:pPr>
        <w:snapToGrid w:val="0"/>
        <w:spacing w:before="156" w:beforeLines="50" w:after="50"/>
        <w:rPr>
          <w:rFonts w:ascii="宋体" w:hAnsi="宋体"/>
          <w:bCs/>
          <w:sz w:val="24"/>
          <w:szCs w:val="20"/>
        </w:rPr>
      </w:pPr>
    </w:p>
    <w:p w14:paraId="713EF65F">
      <w:pPr>
        <w:snapToGrid w:val="0"/>
        <w:spacing w:before="156" w:beforeLines="50" w:after="50"/>
        <w:rPr>
          <w:rFonts w:ascii="宋体" w:hAnsi="宋体"/>
          <w:bCs/>
          <w:sz w:val="24"/>
          <w:szCs w:val="20"/>
        </w:rPr>
      </w:pPr>
    </w:p>
    <w:p w14:paraId="7D7ADDE7">
      <w:pPr>
        <w:snapToGrid w:val="0"/>
        <w:spacing w:before="156" w:beforeLines="50" w:after="50"/>
        <w:rPr>
          <w:rFonts w:ascii="宋体" w:hAnsi="宋体"/>
          <w:bCs/>
          <w:sz w:val="24"/>
          <w:szCs w:val="20"/>
        </w:rPr>
      </w:pPr>
    </w:p>
    <w:p w14:paraId="5FC83517">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14:paraId="7164BB30">
      <w:pPr>
        <w:snapToGrid w:val="0"/>
        <w:spacing w:before="156" w:beforeLines="50" w:after="50"/>
        <w:ind w:firstLine="720" w:firstLineChars="225"/>
        <w:rPr>
          <w:rFonts w:ascii="仿宋_GB2312" w:hAnsi="仿宋_GB2312" w:eastAsia="仿宋_GB2312" w:cs="仿宋_GB2312"/>
          <w:bCs/>
          <w:sz w:val="32"/>
          <w:szCs w:val="32"/>
        </w:rPr>
      </w:pPr>
    </w:p>
    <w:p w14:paraId="3D18D62D">
      <w:pPr>
        <w:snapToGrid w:val="0"/>
        <w:spacing w:before="156" w:beforeLines="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14:paraId="4441DB70">
      <w:pPr>
        <w:snapToGrid w:val="0"/>
        <w:spacing w:before="156" w:beforeLines="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14:paraId="00076B47">
      <w:pPr>
        <w:snapToGrid w:val="0"/>
        <w:spacing w:before="156" w:beforeLines="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所竞分标（如有则填写，无分标时填写“无”或者留空）：</w:t>
      </w:r>
    </w:p>
    <w:p w14:paraId="14E0B7DD">
      <w:pPr>
        <w:snapToGrid w:val="0"/>
        <w:spacing w:before="156" w:beforeLines="50" w:after="50"/>
        <w:ind w:firstLine="720" w:firstLineChars="225"/>
        <w:rPr>
          <w:rFonts w:ascii="仿宋_GB2312" w:hAnsi="仿宋_GB2312" w:eastAsia="仿宋_GB2312" w:cs="仿宋_GB2312"/>
          <w:bCs/>
          <w:sz w:val="32"/>
          <w:szCs w:val="32"/>
        </w:rPr>
      </w:pPr>
    </w:p>
    <w:p w14:paraId="59ABA96D">
      <w:pPr>
        <w:pStyle w:val="7"/>
        <w:snapToGrid w:val="0"/>
        <w:spacing w:before="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14:paraId="2F58AA7D">
      <w:pPr>
        <w:pStyle w:val="7"/>
        <w:snapToGrid w:val="0"/>
        <w:spacing w:before="50" w:after="50"/>
        <w:ind w:firstLine="720" w:firstLineChars="225"/>
        <w:rPr>
          <w:rFonts w:ascii="仿宋_GB2312" w:hAnsi="仿宋_GB2312" w:eastAsia="仿宋_GB2312" w:cs="仿宋_GB2312"/>
          <w:bCs/>
          <w:sz w:val="32"/>
          <w:szCs w:val="32"/>
        </w:rPr>
      </w:pPr>
    </w:p>
    <w:p w14:paraId="7DEA4C58">
      <w:pPr>
        <w:pStyle w:val="7"/>
        <w:snapToGrid w:val="0"/>
        <w:spacing w:before="50" w:after="50"/>
        <w:ind w:firstLine="720" w:firstLineChars="225"/>
        <w:rPr>
          <w:rFonts w:ascii="仿宋_GB2312" w:hAnsi="仿宋_GB2312" w:eastAsia="仿宋_GB2312" w:cs="仿宋_GB2312"/>
          <w:bCs/>
          <w:sz w:val="32"/>
          <w:szCs w:val="32"/>
        </w:rPr>
      </w:pPr>
    </w:p>
    <w:p w14:paraId="164788DB">
      <w:pPr>
        <w:pStyle w:val="7"/>
        <w:snapToGrid w:val="0"/>
        <w:spacing w:before="50" w:after="50"/>
        <w:ind w:firstLine="720" w:firstLineChars="225"/>
        <w:rPr>
          <w:rFonts w:ascii="仿宋_GB2312" w:hAnsi="仿宋_GB2312" w:eastAsia="仿宋_GB2312" w:cs="仿宋_GB2312"/>
          <w:bCs/>
          <w:sz w:val="32"/>
          <w:szCs w:val="32"/>
        </w:rPr>
      </w:pPr>
    </w:p>
    <w:p w14:paraId="29BA4C9F">
      <w:pPr>
        <w:pStyle w:val="7"/>
        <w:snapToGrid w:val="0"/>
        <w:spacing w:before="50" w:after="50"/>
        <w:ind w:firstLine="1280" w:firstLineChars="400"/>
        <w:rPr>
          <w:rFonts w:ascii="仿宋_GB2312" w:hAnsi="仿宋_GB2312" w:eastAsia="仿宋_GB2312" w:cs="仿宋_GB2312"/>
          <w:bCs/>
          <w:sz w:val="32"/>
          <w:szCs w:val="32"/>
        </w:rPr>
      </w:pPr>
    </w:p>
    <w:p w14:paraId="2F463B7B">
      <w:pPr>
        <w:snapToGrid w:val="0"/>
        <w:spacing w:before="156"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61968714">
      <w:pPr>
        <w:snapToGrid w:val="0"/>
        <w:spacing w:before="156"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5238B697">
      <w:pPr>
        <w:snapToGrid w:val="0"/>
        <w:spacing w:before="156" w:beforeLines="50" w:after="50" w:line="360" w:lineRule="auto"/>
        <w:ind w:firstLine="645"/>
        <w:rPr>
          <w:rFonts w:ascii="宋体" w:hAnsi="宋体"/>
          <w:sz w:val="32"/>
          <w:szCs w:val="32"/>
        </w:rPr>
      </w:pPr>
      <w:r>
        <w:rPr>
          <w:rFonts w:hint="eastAsia" w:ascii="宋体" w:hAnsi="宋体"/>
          <w:sz w:val="32"/>
          <w:szCs w:val="32"/>
        </w:rPr>
        <w:t>根据磋商文件规定及供应商提供的材料自行编写目录（部分格式后附）。</w:t>
      </w:r>
    </w:p>
    <w:p w14:paraId="28604EC8">
      <w:pPr>
        <w:snapToGrid w:val="0"/>
        <w:spacing w:before="156" w:beforeLines="50" w:after="50"/>
        <w:rPr>
          <w:rFonts w:ascii="宋体" w:hAnsi="宋体"/>
          <w:sz w:val="24"/>
          <w:szCs w:val="20"/>
        </w:rPr>
      </w:pPr>
      <w:r>
        <w:rPr>
          <w:rFonts w:ascii="宋体" w:hAnsi="宋体"/>
          <w:sz w:val="24"/>
          <w:szCs w:val="20"/>
        </w:rPr>
        <w:t xml:space="preserve"> </w:t>
      </w:r>
    </w:p>
    <w:p w14:paraId="5AD7A723">
      <w:pPr>
        <w:spacing w:line="300" w:lineRule="auto"/>
        <w:rPr>
          <w:rFonts w:ascii="宋体" w:hAnsi="宋体"/>
          <w:szCs w:val="21"/>
        </w:rPr>
      </w:pPr>
    </w:p>
    <w:p w14:paraId="163B1826">
      <w:pPr>
        <w:spacing w:line="300" w:lineRule="auto"/>
        <w:rPr>
          <w:rFonts w:ascii="宋体" w:hAnsi="宋体"/>
          <w:szCs w:val="21"/>
        </w:rPr>
      </w:pPr>
    </w:p>
    <w:p w14:paraId="1E8945F0">
      <w:pPr>
        <w:spacing w:line="300" w:lineRule="auto"/>
        <w:rPr>
          <w:rFonts w:ascii="宋体" w:hAnsi="宋体"/>
          <w:szCs w:val="21"/>
        </w:rPr>
      </w:pPr>
    </w:p>
    <w:p w14:paraId="15D95B26">
      <w:pPr>
        <w:spacing w:line="300" w:lineRule="auto"/>
        <w:rPr>
          <w:rFonts w:ascii="宋体" w:hAnsi="宋体"/>
          <w:szCs w:val="21"/>
        </w:rPr>
      </w:pPr>
    </w:p>
    <w:p w14:paraId="56112A26">
      <w:pPr>
        <w:spacing w:line="300" w:lineRule="auto"/>
        <w:rPr>
          <w:rFonts w:ascii="宋体" w:hAnsi="宋体"/>
          <w:szCs w:val="21"/>
        </w:rPr>
      </w:pPr>
    </w:p>
    <w:p w14:paraId="1DB6BE33">
      <w:pPr>
        <w:spacing w:line="300" w:lineRule="auto"/>
        <w:rPr>
          <w:rFonts w:ascii="宋体" w:hAnsi="宋体"/>
          <w:szCs w:val="21"/>
        </w:rPr>
      </w:pPr>
    </w:p>
    <w:p w14:paraId="6E72F4EA">
      <w:pPr>
        <w:spacing w:line="300" w:lineRule="auto"/>
        <w:rPr>
          <w:rFonts w:ascii="宋体" w:hAnsi="宋体"/>
          <w:szCs w:val="21"/>
        </w:rPr>
      </w:pPr>
    </w:p>
    <w:p w14:paraId="25AD168D">
      <w:pPr>
        <w:spacing w:line="300" w:lineRule="auto"/>
        <w:rPr>
          <w:rFonts w:ascii="宋体" w:hAnsi="宋体"/>
          <w:szCs w:val="21"/>
        </w:rPr>
      </w:pPr>
    </w:p>
    <w:p w14:paraId="7563D75A">
      <w:pPr>
        <w:spacing w:line="300" w:lineRule="auto"/>
        <w:rPr>
          <w:rFonts w:ascii="宋体" w:hAnsi="宋体"/>
          <w:szCs w:val="21"/>
        </w:rPr>
      </w:pPr>
    </w:p>
    <w:p w14:paraId="14E6D02F">
      <w:pPr>
        <w:spacing w:line="300" w:lineRule="auto"/>
        <w:rPr>
          <w:rFonts w:ascii="宋体" w:hAnsi="宋体"/>
          <w:szCs w:val="21"/>
        </w:rPr>
      </w:pPr>
    </w:p>
    <w:p w14:paraId="09CD060F">
      <w:pPr>
        <w:spacing w:line="300" w:lineRule="auto"/>
        <w:rPr>
          <w:rFonts w:ascii="宋体" w:hAnsi="宋体"/>
          <w:szCs w:val="21"/>
        </w:rPr>
      </w:pPr>
    </w:p>
    <w:p w14:paraId="2E8375BA">
      <w:pPr>
        <w:spacing w:line="300" w:lineRule="auto"/>
        <w:rPr>
          <w:rFonts w:ascii="宋体" w:hAnsi="宋体"/>
          <w:szCs w:val="21"/>
        </w:rPr>
      </w:pPr>
    </w:p>
    <w:p w14:paraId="424FEFF1">
      <w:pPr>
        <w:spacing w:line="300" w:lineRule="auto"/>
        <w:rPr>
          <w:rFonts w:ascii="宋体" w:hAnsi="宋体"/>
          <w:szCs w:val="21"/>
        </w:rPr>
      </w:pPr>
    </w:p>
    <w:p w14:paraId="40970304">
      <w:pPr>
        <w:spacing w:line="300" w:lineRule="auto"/>
        <w:rPr>
          <w:rFonts w:ascii="宋体" w:hAnsi="宋体"/>
          <w:szCs w:val="21"/>
        </w:rPr>
      </w:pPr>
    </w:p>
    <w:p w14:paraId="3361F6A7">
      <w:pPr>
        <w:spacing w:line="300" w:lineRule="auto"/>
        <w:rPr>
          <w:rFonts w:ascii="宋体" w:hAnsi="宋体"/>
          <w:szCs w:val="21"/>
        </w:rPr>
      </w:pPr>
    </w:p>
    <w:p w14:paraId="5AFBA592">
      <w:pPr>
        <w:spacing w:line="320" w:lineRule="exact"/>
        <w:jc w:val="left"/>
        <w:rPr>
          <w:rFonts w:ascii="宋体" w:hAnsi="宋体"/>
          <w:szCs w:val="21"/>
        </w:rPr>
      </w:pPr>
      <w:r>
        <w:rPr>
          <w:rFonts w:ascii="宋体" w:hAnsi="宋体"/>
          <w:szCs w:val="21"/>
        </w:rPr>
        <w:br w:type="page"/>
      </w:r>
    </w:p>
    <w:p w14:paraId="08D7044E">
      <w:pPr>
        <w:wordWrap w:val="0"/>
        <w:spacing w:before="156" w:beforeLines="50" w:after="50" w:line="320" w:lineRule="exact"/>
        <w:ind w:right="482" w:firstLine="210" w:firstLineChars="100"/>
        <w:contextualSpacing/>
        <w:jc w:val="center"/>
        <w:rPr>
          <w:rFonts w:ascii="宋体" w:hAnsi="宋体"/>
          <w:szCs w:val="21"/>
        </w:rPr>
      </w:pPr>
    </w:p>
    <w:p w14:paraId="786FB294">
      <w:pPr>
        <w:spacing w:line="320" w:lineRule="exact"/>
        <w:jc w:val="center"/>
        <w:rPr>
          <w:rFonts w:ascii="宋体" w:hAnsi="宋体"/>
          <w:b/>
          <w:sz w:val="24"/>
        </w:rPr>
      </w:pPr>
      <w:r>
        <w:rPr>
          <w:rFonts w:hint="eastAsia" w:ascii="宋体" w:hAnsi="宋体"/>
          <w:b/>
          <w:sz w:val="32"/>
          <w:szCs w:val="32"/>
        </w:rPr>
        <w:t>供应商直接控股、管理关系信息表</w:t>
      </w:r>
    </w:p>
    <w:p w14:paraId="25B98A43">
      <w:pPr>
        <w:spacing w:line="360" w:lineRule="auto"/>
        <w:jc w:val="center"/>
        <w:rPr>
          <w:rFonts w:ascii="宋体" w:hAnsi="宋体"/>
          <w:b/>
          <w:sz w:val="24"/>
        </w:rPr>
      </w:pPr>
      <w:r>
        <w:rPr>
          <w:rFonts w:hint="eastAsia" w:ascii="宋体" w:hAnsi="宋体" w:cs="宋体"/>
          <w:b/>
          <w:bCs/>
          <w:sz w:val="32"/>
          <w:szCs w:val="32"/>
        </w:rPr>
        <w:t>供应商直接控股股东信息表</w:t>
      </w:r>
    </w:p>
    <w:tbl>
      <w:tblPr>
        <w:tblStyle w:val="3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F2E069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572725">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651934">
            <w:pPr>
              <w:widowControl/>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1A77E4">
            <w:pPr>
              <w:widowControl/>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7D7FF7">
            <w:pPr>
              <w:widowControl/>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05BA4C">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63E2A54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3211D3">
            <w:pPr>
              <w:widowControl/>
              <w:spacing w:line="360" w:lineRule="auto"/>
              <w:jc w:val="center"/>
              <w:rPr>
                <w:rFonts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8AF977">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CA537F">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00E359">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FF0C86">
            <w:pPr>
              <w:widowControl/>
              <w:spacing w:line="360" w:lineRule="auto"/>
              <w:jc w:val="center"/>
              <w:rPr>
                <w:rFonts w:ascii="宋体" w:hAnsi="宋体" w:cs="宋体"/>
                <w:kern w:val="0"/>
                <w:sz w:val="24"/>
              </w:rPr>
            </w:pPr>
          </w:p>
        </w:tc>
      </w:tr>
      <w:tr w14:paraId="14DB550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E576E2">
            <w:pPr>
              <w:widowControl/>
              <w:spacing w:line="360" w:lineRule="auto"/>
              <w:jc w:val="center"/>
              <w:rPr>
                <w:rFonts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E35BBC">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760E28">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B22186">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769A96">
            <w:pPr>
              <w:widowControl/>
              <w:spacing w:line="360" w:lineRule="auto"/>
              <w:jc w:val="center"/>
              <w:rPr>
                <w:rFonts w:ascii="宋体" w:hAnsi="宋体" w:cs="宋体"/>
                <w:kern w:val="0"/>
                <w:sz w:val="24"/>
              </w:rPr>
            </w:pPr>
          </w:p>
        </w:tc>
      </w:tr>
      <w:tr w14:paraId="696F019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811E5E">
            <w:pPr>
              <w:widowControl/>
              <w:spacing w:line="360" w:lineRule="auto"/>
              <w:jc w:val="center"/>
              <w:rPr>
                <w:rFonts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792F19">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7664E6">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142A9E">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D222C8">
            <w:pPr>
              <w:widowControl/>
              <w:spacing w:line="360" w:lineRule="auto"/>
              <w:jc w:val="center"/>
              <w:rPr>
                <w:rFonts w:ascii="宋体" w:hAnsi="宋体" w:cs="宋体"/>
                <w:kern w:val="0"/>
                <w:sz w:val="24"/>
              </w:rPr>
            </w:pPr>
          </w:p>
        </w:tc>
      </w:tr>
      <w:tr w14:paraId="55EA778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45D59F">
            <w:pPr>
              <w:widowControl/>
              <w:spacing w:line="360" w:lineRule="auto"/>
              <w:jc w:val="center"/>
              <w:rPr>
                <w:rFonts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1B5F2D">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B5AC5E">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20FFCD">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44655F">
            <w:pPr>
              <w:widowControl/>
              <w:spacing w:line="360" w:lineRule="auto"/>
              <w:jc w:val="center"/>
              <w:rPr>
                <w:rFonts w:ascii="宋体" w:hAnsi="宋体" w:cs="宋体"/>
                <w:kern w:val="0"/>
                <w:sz w:val="24"/>
              </w:rPr>
            </w:pPr>
          </w:p>
        </w:tc>
      </w:tr>
    </w:tbl>
    <w:p w14:paraId="674CCC8A">
      <w:pPr>
        <w:snapToGrid w:val="0"/>
        <w:spacing w:line="360" w:lineRule="auto"/>
        <w:jc w:val="left"/>
        <w:rPr>
          <w:rFonts w:ascii="宋体" w:hAnsi="宋体" w:cs="宋体"/>
          <w:sz w:val="24"/>
        </w:rPr>
      </w:pPr>
      <w:r>
        <w:rPr>
          <w:rFonts w:hint="eastAsia" w:ascii="宋体" w:hAnsi="宋体" w:cs="宋体"/>
          <w:sz w:val="24"/>
        </w:rPr>
        <w:t>注：</w:t>
      </w:r>
    </w:p>
    <w:p w14:paraId="722664EE">
      <w:pPr>
        <w:snapToGrid w:val="0"/>
        <w:spacing w:line="360" w:lineRule="auto"/>
        <w:ind w:firstLine="480" w:firstLineChars="200"/>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F769A53">
      <w:pPr>
        <w:snapToGrid w:val="0"/>
        <w:spacing w:line="360" w:lineRule="auto"/>
        <w:ind w:firstLine="480" w:firstLineChars="200"/>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255CCF43">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3.供应商不存在直接控股股东的，则填“无”。</w:t>
      </w:r>
    </w:p>
    <w:p w14:paraId="63CB3DC6">
      <w:pPr>
        <w:snapToGrid w:val="0"/>
        <w:spacing w:line="360" w:lineRule="auto"/>
        <w:jc w:val="left"/>
        <w:rPr>
          <w:rFonts w:ascii="宋体" w:hAnsi="宋体" w:cs="宋体"/>
          <w:sz w:val="24"/>
        </w:rPr>
      </w:pPr>
    </w:p>
    <w:p w14:paraId="44D68C50">
      <w:pPr>
        <w:snapToGrid w:val="0"/>
        <w:spacing w:line="360" w:lineRule="auto"/>
        <w:jc w:val="left"/>
        <w:rPr>
          <w:rFonts w:ascii="宋体" w:hAnsi="宋体" w:cs="宋体"/>
          <w:sz w:val="24"/>
        </w:rPr>
      </w:pPr>
    </w:p>
    <w:p w14:paraId="01919BED">
      <w:pPr>
        <w:snapToGrid w:val="0"/>
        <w:spacing w:line="360" w:lineRule="auto"/>
        <w:jc w:val="left"/>
        <w:rPr>
          <w:rFonts w:ascii="宋体" w:hAnsi="宋体" w:cs="宋体"/>
          <w:sz w:val="24"/>
        </w:rPr>
      </w:pPr>
    </w:p>
    <w:p w14:paraId="113090FB">
      <w:pPr>
        <w:snapToGrid w:val="0"/>
        <w:spacing w:before="156" w:beforeLines="50" w:line="360" w:lineRule="auto"/>
        <w:ind w:right="480" w:firstLine="1920" w:firstLineChars="800"/>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77D0CB60">
      <w:pPr>
        <w:snapToGrid w:val="0"/>
        <w:spacing w:before="156" w:beforeLines="50" w:after="50" w:line="360" w:lineRule="auto"/>
        <w:ind w:right="480" w:firstLine="3000" w:firstLineChars="1250"/>
        <w:rPr>
          <w:rFonts w:ascii="宋体" w:hAnsi="宋体" w:cs="宋体"/>
          <w:sz w:val="24"/>
          <w:u w:val="single"/>
        </w:rPr>
      </w:pPr>
      <w:r>
        <w:rPr>
          <w:rFonts w:hint="eastAsia" w:ascii="宋体" w:hAnsi="宋体" w:cs="宋体"/>
          <w:sz w:val="24"/>
        </w:rPr>
        <w:t>供应商（盖公章 ）：</w:t>
      </w:r>
      <w:r>
        <w:rPr>
          <w:rFonts w:hint="eastAsia" w:ascii="宋体" w:hAnsi="宋体" w:cs="宋体"/>
          <w:sz w:val="24"/>
          <w:u w:val="single"/>
        </w:rPr>
        <w:t xml:space="preserve">                              </w:t>
      </w:r>
    </w:p>
    <w:p w14:paraId="137B60E8">
      <w:pPr>
        <w:snapToGrid w:val="0"/>
        <w:spacing w:before="156" w:beforeLines="50" w:after="50" w:line="360" w:lineRule="auto"/>
        <w:ind w:right="480" w:firstLine="5280" w:firstLineChars="2200"/>
        <w:rPr>
          <w:rFonts w:ascii="宋体" w:hAnsi="宋体" w:cs="宋体"/>
          <w:sz w:val="28"/>
          <w:szCs w:val="28"/>
        </w:rPr>
      </w:pPr>
      <w:r>
        <w:rPr>
          <w:rFonts w:hint="eastAsia" w:ascii="宋体" w:hAnsi="宋体" w:cs="宋体"/>
          <w:sz w:val="24"/>
        </w:rPr>
        <w:t>年    月    日</w:t>
      </w:r>
    </w:p>
    <w:p w14:paraId="42E73564">
      <w:pPr>
        <w:snapToGrid w:val="0"/>
        <w:jc w:val="center"/>
        <w:rPr>
          <w:rFonts w:ascii="宋体" w:hAnsi="宋体"/>
          <w:b/>
          <w:sz w:val="28"/>
          <w:szCs w:val="28"/>
        </w:rPr>
      </w:pPr>
      <w:r>
        <w:rPr>
          <w:rFonts w:ascii="宋体" w:hAnsi="宋体"/>
          <w:b/>
          <w:sz w:val="28"/>
          <w:szCs w:val="28"/>
        </w:rPr>
        <w:br w:type="page"/>
      </w:r>
    </w:p>
    <w:p w14:paraId="50BB1D66">
      <w:pPr>
        <w:spacing w:line="360" w:lineRule="auto"/>
        <w:jc w:val="center"/>
        <w:rPr>
          <w:rFonts w:ascii="宋体" w:hAnsi="宋体" w:cs="宋体"/>
          <w:b/>
          <w:bCs/>
          <w:sz w:val="32"/>
          <w:szCs w:val="32"/>
        </w:rPr>
      </w:pPr>
      <w:r>
        <w:rPr>
          <w:rFonts w:hint="eastAsia" w:ascii="宋体" w:hAnsi="宋体" w:cs="宋体"/>
          <w:b/>
          <w:bCs/>
          <w:sz w:val="32"/>
          <w:szCs w:val="32"/>
        </w:rPr>
        <w:t>供应商直接管理关系信息表</w:t>
      </w:r>
    </w:p>
    <w:p w14:paraId="3B095CAF">
      <w:pPr>
        <w:snapToGrid w:val="0"/>
        <w:spacing w:line="360" w:lineRule="auto"/>
        <w:jc w:val="center"/>
        <w:rPr>
          <w:rFonts w:ascii="宋体" w:hAnsi="宋体"/>
          <w:b/>
          <w:sz w:val="24"/>
        </w:rPr>
      </w:pPr>
    </w:p>
    <w:tbl>
      <w:tblPr>
        <w:tblStyle w:val="3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DC1E871">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71972E">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231476">
            <w:pPr>
              <w:widowControl/>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E83DFD">
            <w:pPr>
              <w:widowControl/>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14BD2A">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77D9C26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074094">
            <w:pPr>
              <w:widowControl/>
              <w:spacing w:line="360" w:lineRule="auto"/>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9F2BD6">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92C53E">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CC4F9C">
            <w:pPr>
              <w:widowControl/>
              <w:spacing w:line="360" w:lineRule="auto"/>
              <w:jc w:val="center"/>
              <w:rPr>
                <w:rFonts w:ascii="宋体" w:hAnsi="宋体" w:cs="宋体"/>
                <w:kern w:val="0"/>
                <w:sz w:val="24"/>
              </w:rPr>
            </w:pPr>
          </w:p>
        </w:tc>
      </w:tr>
      <w:tr w14:paraId="7E738EB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5F5A0C">
            <w:pPr>
              <w:widowControl/>
              <w:spacing w:line="360" w:lineRule="auto"/>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1E6665">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B21CD0">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816D04">
            <w:pPr>
              <w:widowControl/>
              <w:spacing w:line="360" w:lineRule="auto"/>
              <w:jc w:val="center"/>
              <w:rPr>
                <w:rFonts w:ascii="宋体" w:hAnsi="宋体" w:cs="宋体"/>
                <w:kern w:val="0"/>
                <w:sz w:val="24"/>
              </w:rPr>
            </w:pPr>
          </w:p>
        </w:tc>
      </w:tr>
      <w:tr w14:paraId="35495BC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DADDE5">
            <w:pPr>
              <w:widowControl/>
              <w:spacing w:line="360" w:lineRule="auto"/>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28FFC0">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AC0296">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0F0F53">
            <w:pPr>
              <w:widowControl/>
              <w:spacing w:line="360" w:lineRule="auto"/>
              <w:jc w:val="center"/>
              <w:rPr>
                <w:rFonts w:ascii="宋体" w:hAnsi="宋体" w:cs="宋体"/>
                <w:kern w:val="0"/>
                <w:sz w:val="24"/>
              </w:rPr>
            </w:pPr>
          </w:p>
        </w:tc>
      </w:tr>
      <w:tr w14:paraId="1B4AA55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5E2678">
            <w:pPr>
              <w:widowControl/>
              <w:spacing w:line="360" w:lineRule="auto"/>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16C041">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43E8DB">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28F638">
            <w:pPr>
              <w:widowControl/>
              <w:spacing w:line="360" w:lineRule="auto"/>
              <w:jc w:val="center"/>
              <w:rPr>
                <w:rFonts w:ascii="宋体" w:hAnsi="宋体" w:cs="宋体"/>
                <w:kern w:val="0"/>
                <w:sz w:val="24"/>
              </w:rPr>
            </w:pPr>
          </w:p>
        </w:tc>
      </w:tr>
    </w:tbl>
    <w:p w14:paraId="45F08718">
      <w:pPr>
        <w:snapToGrid w:val="0"/>
        <w:spacing w:line="360" w:lineRule="auto"/>
        <w:jc w:val="left"/>
        <w:rPr>
          <w:rFonts w:ascii="宋体" w:hAnsi="宋体"/>
          <w:sz w:val="24"/>
        </w:rPr>
      </w:pPr>
      <w:r>
        <w:rPr>
          <w:rFonts w:hint="eastAsia" w:ascii="宋体" w:hAnsi="宋体"/>
          <w:sz w:val="24"/>
        </w:rPr>
        <w:t>注：</w:t>
      </w:r>
    </w:p>
    <w:p w14:paraId="7A41378F">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449F063F">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547EC729">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14:paraId="0EE6E2B5">
      <w:pPr>
        <w:snapToGrid w:val="0"/>
        <w:spacing w:line="360" w:lineRule="auto"/>
        <w:jc w:val="left"/>
        <w:rPr>
          <w:rFonts w:ascii="宋体" w:hAnsi="宋体"/>
          <w:sz w:val="24"/>
        </w:rPr>
      </w:pPr>
    </w:p>
    <w:p w14:paraId="2B0C59B7">
      <w:pPr>
        <w:snapToGrid w:val="0"/>
        <w:spacing w:line="360" w:lineRule="auto"/>
        <w:jc w:val="left"/>
        <w:rPr>
          <w:rFonts w:ascii="宋体" w:hAnsi="宋体"/>
          <w:sz w:val="24"/>
        </w:rPr>
      </w:pPr>
    </w:p>
    <w:p w14:paraId="2BF6EC83">
      <w:pPr>
        <w:snapToGrid w:val="0"/>
        <w:spacing w:line="360" w:lineRule="auto"/>
        <w:jc w:val="left"/>
        <w:rPr>
          <w:sz w:val="24"/>
        </w:rPr>
      </w:pPr>
    </w:p>
    <w:p w14:paraId="586F4CA3">
      <w:pPr>
        <w:snapToGrid w:val="0"/>
        <w:spacing w:line="360" w:lineRule="auto"/>
        <w:jc w:val="left"/>
        <w:rPr>
          <w:sz w:val="24"/>
        </w:rPr>
      </w:pPr>
    </w:p>
    <w:p w14:paraId="237E6776">
      <w:pPr>
        <w:snapToGrid w:val="0"/>
        <w:spacing w:line="360" w:lineRule="auto"/>
        <w:jc w:val="left"/>
        <w:rPr>
          <w:sz w:val="24"/>
        </w:rPr>
      </w:pPr>
    </w:p>
    <w:p w14:paraId="6C4DBF9F">
      <w:pPr>
        <w:snapToGrid w:val="0"/>
        <w:spacing w:line="360" w:lineRule="auto"/>
        <w:jc w:val="left"/>
        <w:rPr>
          <w:rFonts w:ascii="宋体" w:hAnsi="宋体"/>
          <w:sz w:val="24"/>
        </w:rPr>
      </w:pPr>
    </w:p>
    <w:p w14:paraId="00A0DEE9">
      <w:pPr>
        <w:snapToGrid w:val="0"/>
        <w:spacing w:before="156" w:beforeLines="50" w:line="360" w:lineRule="auto"/>
        <w:ind w:right="480" w:firstLine="2160" w:firstLineChars="900"/>
        <w:rPr>
          <w:rFonts w:ascii="宋体" w:hAnsi="宋体"/>
          <w:sz w:val="24"/>
          <w:u w:val="single"/>
        </w:rPr>
      </w:pPr>
      <w:r>
        <w:rPr>
          <w:rFonts w:hint="eastAsia" w:ascii="宋体" w:hAnsi="宋体"/>
          <w:sz w:val="24"/>
        </w:rPr>
        <w:t>法定代表人或者委托代理人签字：</w:t>
      </w:r>
      <w:r>
        <w:rPr>
          <w:rFonts w:hint="eastAsia" w:ascii="宋体" w:hAnsi="宋体"/>
          <w:sz w:val="24"/>
          <w:u w:val="single"/>
        </w:rPr>
        <w:t xml:space="preserve">               </w:t>
      </w:r>
    </w:p>
    <w:p w14:paraId="3B7EF6B1">
      <w:pPr>
        <w:snapToGrid w:val="0"/>
        <w:spacing w:before="156" w:beforeLines="50" w:after="50" w:line="360" w:lineRule="auto"/>
        <w:ind w:right="480" w:firstLine="3360" w:firstLineChars="1400"/>
        <w:rPr>
          <w:rFonts w:ascii="宋体" w:hAnsi="宋体"/>
          <w:sz w:val="24"/>
        </w:rPr>
      </w:pPr>
      <w:r>
        <w:rPr>
          <w:rFonts w:hint="eastAsia" w:ascii="宋体" w:hAnsi="宋体"/>
          <w:sz w:val="24"/>
        </w:rPr>
        <w:t>供应商（盖公章）：</w:t>
      </w:r>
      <w:r>
        <w:rPr>
          <w:rFonts w:hint="eastAsia" w:ascii="宋体" w:hAnsi="宋体"/>
          <w:sz w:val="24"/>
          <w:u w:val="single"/>
        </w:rPr>
        <w:t xml:space="preserve">                </w:t>
      </w:r>
    </w:p>
    <w:p w14:paraId="78B0A145">
      <w:pPr>
        <w:snapToGrid w:val="0"/>
        <w:spacing w:before="156" w:beforeLines="50" w:after="50" w:line="360" w:lineRule="auto"/>
        <w:ind w:right="480" w:firstLine="240" w:firstLineChars="100"/>
        <w:jc w:val="center"/>
        <w:rPr>
          <w:rFonts w:ascii="宋体" w:hAnsi="宋体"/>
          <w:sz w:val="28"/>
          <w:szCs w:val="28"/>
        </w:rPr>
      </w:pPr>
      <w:r>
        <w:rPr>
          <w:rFonts w:hint="eastAsia" w:ascii="宋体" w:hAnsi="宋体"/>
          <w:sz w:val="24"/>
        </w:rPr>
        <w:t xml:space="preserve">                                        年    月    日</w:t>
      </w:r>
    </w:p>
    <w:p w14:paraId="269EF730">
      <w:pPr>
        <w:spacing w:line="360" w:lineRule="auto"/>
        <w:jc w:val="center"/>
        <w:rPr>
          <w:rFonts w:ascii="宋体" w:hAnsi="宋体"/>
          <w:b/>
          <w:sz w:val="32"/>
          <w:szCs w:val="32"/>
        </w:rPr>
      </w:pPr>
      <w:r>
        <w:rPr>
          <w:rFonts w:ascii="宋体" w:hAnsi="宋体"/>
          <w:sz w:val="28"/>
          <w:szCs w:val="28"/>
        </w:rPr>
        <w:br w:type="page"/>
      </w:r>
      <w:r>
        <w:rPr>
          <w:rFonts w:hint="eastAsia" w:ascii="宋体" w:hAnsi="宋体" w:cs="宋体"/>
          <w:b/>
          <w:bCs/>
          <w:sz w:val="32"/>
          <w:szCs w:val="32"/>
        </w:rPr>
        <w:t>竞标声明</w:t>
      </w:r>
    </w:p>
    <w:p w14:paraId="1D72AF39">
      <w:pPr>
        <w:spacing w:line="320" w:lineRule="exact"/>
        <w:jc w:val="center"/>
        <w:rPr>
          <w:rFonts w:ascii="宋体" w:hAnsi="宋体"/>
          <w:sz w:val="24"/>
          <w:szCs w:val="20"/>
        </w:rPr>
      </w:pPr>
    </w:p>
    <w:p w14:paraId="3F4B2C52">
      <w:pPr>
        <w:spacing w:before="156" w:beforeLines="50" w:after="50"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（采购代理机构名称）</w:t>
      </w:r>
      <w:r>
        <w:rPr>
          <w:rFonts w:hint="eastAsia" w:ascii="宋体" w:hAnsi="宋体" w:cs="宋体"/>
          <w:sz w:val="24"/>
        </w:rPr>
        <w:t>：</w:t>
      </w:r>
    </w:p>
    <w:p w14:paraId="1A88D803">
      <w:pPr>
        <w:spacing w:before="156" w:beforeLines="50" w:after="50"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54443AEF">
      <w:pPr>
        <w:spacing w:before="156" w:beforeLines="50"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3C0889DA">
      <w:pPr>
        <w:spacing w:before="156" w:beforeLines="50"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6D0A6EF9">
      <w:pPr>
        <w:spacing w:before="156" w:beforeLines="50" w:line="360" w:lineRule="auto"/>
        <w:ind w:firstLine="480" w:firstLineChars="200"/>
        <w:contextualSpacing/>
        <w:rPr>
          <w:rFonts w:ascii="宋体" w:hAnsi="宋体" w:cs="宋体"/>
          <w:sz w:val="24"/>
        </w:rPr>
      </w:pPr>
      <w:r>
        <w:rPr>
          <w:rFonts w:hint="eastAsia" w:ascii="宋体" w:hAnsi="宋体"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5A9A351">
      <w:pPr>
        <w:spacing w:before="156" w:beforeLines="50"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699C9757">
      <w:pPr>
        <w:spacing w:before="156" w:beforeLines="50"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2DE4A68D">
      <w:pPr>
        <w:spacing w:before="156" w:beforeLines="50"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5D268F1D">
      <w:pPr>
        <w:spacing w:before="156" w:beforeLines="50"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458829FA">
      <w:pPr>
        <w:spacing w:before="156" w:beforeLines="50" w:line="360" w:lineRule="auto"/>
        <w:ind w:firstLine="480" w:firstLineChars="200"/>
        <w:contextualSpacing/>
        <w:rPr>
          <w:rFonts w:ascii="宋体" w:hAnsi="宋体" w:cs="宋体"/>
          <w:sz w:val="24"/>
        </w:rPr>
      </w:pPr>
      <w:r>
        <w:rPr>
          <w:rFonts w:hint="eastAsia" w:ascii="宋体" w:hAnsi="宋体" w:cs="宋体"/>
          <w:sz w:val="24"/>
        </w:rPr>
        <w:t>（4）响应磋商文件规定的竞标有效期。</w:t>
      </w:r>
    </w:p>
    <w:p w14:paraId="7C7F11B2">
      <w:pPr>
        <w:spacing w:before="156" w:beforeLines="50"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618CE491">
      <w:pPr>
        <w:spacing w:before="156" w:beforeLines="50"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2D4D951C">
      <w:pPr>
        <w:spacing w:before="156" w:beforeLines="50"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07A41F01">
      <w:pPr>
        <w:spacing w:before="156" w:beforeLines="50"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731A1F17">
      <w:pPr>
        <w:spacing w:before="156" w:beforeLines="50"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64C4FC93">
      <w:pPr>
        <w:spacing w:before="156" w:beforeLines="50"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06242E6A">
      <w:pPr>
        <w:spacing w:before="156" w:beforeLines="50"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20DAB666">
      <w:pPr>
        <w:spacing w:before="156" w:beforeLines="50"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DEF430A">
      <w:pPr>
        <w:spacing w:before="156" w:beforeLines="50"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B639F8B">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69454FF6">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78F99F2D">
      <w:pPr>
        <w:pStyle w:val="21"/>
        <w:spacing w:line="360" w:lineRule="auto"/>
        <w:ind w:firstLine="480" w:firstLineChars="200"/>
        <w:contextualSpacing/>
        <w:rPr>
          <w:rFonts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14:paraId="4FE6C4E3">
      <w:pPr>
        <w:pStyle w:val="21"/>
        <w:spacing w:line="360" w:lineRule="auto"/>
        <w:ind w:firstLine="480" w:firstLineChars="200"/>
        <w:contextualSpacing/>
        <w:rPr>
          <w:rFonts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r>
        <w:rPr>
          <w:rFonts w:hint="eastAsia" w:hAnsi="宋体" w:cs="宋体"/>
          <w:sz w:val="24"/>
          <w:szCs w:val="24"/>
        </w:rPr>
        <w:t xml:space="preserve">    </w:t>
      </w:r>
    </w:p>
    <w:p w14:paraId="4CF53CF3">
      <w:pPr>
        <w:pStyle w:val="19"/>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14:paraId="37AB2307">
      <w:pPr>
        <w:pStyle w:val="19"/>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0622DF85">
      <w:pPr>
        <w:pStyle w:val="19"/>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000D0D8F">
      <w:pPr>
        <w:pStyle w:val="19"/>
        <w:tabs>
          <w:tab w:val="left" w:pos="939"/>
        </w:tabs>
        <w:spacing w:line="360" w:lineRule="auto"/>
        <w:ind w:left="0" w:leftChars="0" w:firstLine="480" w:firstLineChars="200"/>
        <w:rPr>
          <w:rFonts w:ascii="宋体" w:hAnsi="宋体" w:cs="宋体"/>
          <w:sz w:val="24"/>
        </w:rPr>
      </w:pPr>
      <w:r>
        <w:rPr>
          <w:rFonts w:hint="eastAsia" w:ascii="宋体" w:hAnsi="宋体" w:cs="宋体"/>
          <w:sz w:val="24"/>
        </w:rPr>
        <w:t>注：如为联合体竞标，盖章处须加盖联合体各方公章并由联合体各方法定代表人签署，否则其响应文件按无效响应处理。</w:t>
      </w:r>
    </w:p>
    <w:p w14:paraId="47958132">
      <w:pPr>
        <w:pStyle w:val="19"/>
        <w:tabs>
          <w:tab w:val="left" w:pos="939"/>
        </w:tabs>
        <w:spacing w:line="360" w:lineRule="auto"/>
        <w:ind w:left="0" w:leftChars="0" w:firstLine="480" w:firstLineChars="200"/>
        <w:rPr>
          <w:rFonts w:ascii="宋体" w:hAnsi="宋体" w:cs="宋体"/>
          <w:sz w:val="24"/>
        </w:rPr>
      </w:pPr>
    </w:p>
    <w:p w14:paraId="17F85A71">
      <w:pPr>
        <w:pStyle w:val="19"/>
        <w:tabs>
          <w:tab w:val="left" w:pos="939"/>
        </w:tabs>
        <w:spacing w:line="360" w:lineRule="auto"/>
        <w:ind w:left="0" w:leftChars="0" w:firstLine="480" w:firstLineChars="200"/>
        <w:rPr>
          <w:rFonts w:ascii="宋体" w:hAnsi="宋体" w:cs="宋体"/>
          <w:sz w:val="24"/>
        </w:rPr>
      </w:pPr>
    </w:p>
    <w:p w14:paraId="4763D99F">
      <w:pPr>
        <w:spacing w:line="360" w:lineRule="auto"/>
        <w:ind w:firstLine="4320" w:firstLineChars="1800"/>
        <w:rPr>
          <w:sz w:val="24"/>
        </w:rPr>
      </w:pPr>
      <w:r>
        <w:rPr>
          <w:rFonts w:hint="eastAsia"/>
          <w:sz w:val="24"/>
        </w:rPr>
        <w:t>法定代表人（签字）：</w:t>
      </w:r>
      <w:r>
        <w:rPr>
          <w:rFonts w:hint="eastAsia"/>
          <w:sz w:val="24"/>
          <w:u w:val="single"/>
        </w:rPr>
        <w:t xml:space="preserve">                             </w:t>
      </w:r>
      <w:r>
        <w:rPr>
          <w:rFonts w:hint="eastAsia"/>
          <w:sz w:val="24"/>
        </w:rPr>
        <w:t xml:space="preserve">                                     </w:t>
      </w:r>
    </w:p>
    <w:p w14:paraId="37ACFE97">
      <w:pPr>
        <w:spacing w:line="360" w:lineRule="auto"/>
        <w:ind w:firstLine="4320" w:firstLineChars="1800"/>
        <w:rPr>
          <w:rFonts w:ascii="宋体" w:hAnsi="宋体" w:cs="宋体"/>
          <w:sz w:val="24"/>
          <w:u w:val="single"/>
        </w:rPr>
      </w:pPr>
      <w:r>
        <w:rPr>
          <w:rFonts w:hint="eastAsia"/>
          <w:sz w:val="24"/>
        </w:rPr>
        <w:t>供应商（盖公章）：</w:t>
      </w:r>
      <w:r>
        <w:rPr>
          <w:rFonts w:hint="eastAsia"/>
          <w:sz w:val="24"/>
          <w:u w:val="single"/>
        </w:rPr>
        <w:t xml:space="preserve">                               </w:t>
      </w:r>
      <w:r>
        <w:rPr>
          <w:rFonts w:hint="eastAsia"/>
          <w:sz w:val="24"/>
        </w:rPr>
        <w:t xml:space="preserve">       </w:t>
      </w:r>
      <w:r>
        <w:rPr>
          <w:rFonts w:hint="eastAsia" w:ascii="宋体" w:hAnsi="宋体" w:cs="宋体"/>
          <w:sz w:val="24"/>
        </w:rPr>
        <w:t xml:space="preserve">    </w:t>
      </w:r>
    </w:p>
    <w:p w14:paraId="048F3FA2">
      <w:pPr>
        <w:snapToGrid w:val="0"/>
        <w:spacing w:before="156" w:beforeLines="50" w:after="50" w:line="360" w:lineRule="auto"/>
        <w:ind w:right="480" w:firstLine="240" w:firstLineChars="100"/>
        <w:jc w:val="center"/>
        <w:rPr>
          <w:rFonts w:ascii="宋体" w:hAnsi="宋体"/>
          <w:sz w:val="28"/>
          <w:szCs w:val="28"/>
        </w:rPr>
      </w:pPr>
      <w:r>
        <w:rPr>
          <w:rFonts w:hint="eastAsia" w:ascii="宋体" w:hAnsi="宋体" w:cs="宋体"/>
          <w:sz w:val="24"/>
        </w:rPr>
        <w:t xml:space="preserve">                                                  </w:t>
      </w:r>
      <w:r>
        <w:rPr>
          <w:rFonts w:hint="eastAsia"/>
          <w:sz w:val="24"/>
        </w:rPr>
        <w:t xml:space="preserve"> 年    月    日</w:t>
      </w:r>
    </w:p>
    <w:p w14:paraId="29650F7E">
      <w:pPr>
        <w:snapToGrid w:val="0"/>
        <w:spacing w:before="156" w:beforeLines="50" w:after="50" w:line="360" w:lineRule="auto"/>
        <w:ind w:right="480" w:firstLine="280" w:firstLineChars="100"/>
        <w:jc w:val="center"/>
        <w:rPr>
          <w:rFonts w:ascii="宋体" w:hAnsi="宋体"/>
          <w:sz w:val="28"/>
          <w:szCs w:val="28"/>
        </w:rPr>
      </w:pPr>
    </w:p>
    <w:p w14:paraId="43C7C4DD">
      <w:pPr>
        <w:spacing w:line="360" w:lineRule="exact"/>
        <w:rPr>
          <w:rFonts w:ascii="宋体" w:hAnsi="宋体"/>
          <w:sz w:val="28"/>
          <w:szCs w:val="28"/>
        </w:rPr>
      </w:pPr>
    </w:p>
    <w:p w14:paraId="26478248">
      <w:pPr>
        <w:spacing w:line="360" w:lineRule="exact"/>
        <w:rPr>
          <w:rFonts w:ascii="宋体" w:hAnsi="宋体"/>
          <w:sz w:val="28"/>
          <w:szCs w:val="28"/>
        </w:rPr>
      </w:pPr>
    </w:p>
    <w:p w14:paraId="1E041471">
      <w:pPr>
        <w:spacing w:line="360" w:lineRule="exact"/>
        <w:rPr>
          <w:rFonts w:ascii="宋体" w:hAnsi="宋体"/>
          <w:sz w:val="28"/>
          <w:szCs w:val="28"/>
        </w:rPr>
      </w:pPr>
    </w:p>
    <w:p w14:paraId="3B0B8D13">
      <w:pPr>
        <w:spacing w:line="360" w:lineRule="exact"/>
        <w:rPr>
          <w:rFonts w:ascii="宋体" w:hAnsi="宋体"/>
          <w:sz w:val="28"/>
          <w:szCs w:val="28"/>
        </w:rPr>
      </w:pPr>
    </w:p>
    <w:p w14:paraId="1F1109A3">
      <w:pPr>
        <w:spacing w:line="360" w:lineRule="exact"/>
        <w:rPr>
          <w:rFonts w:ascii="宋体" w:hAnsi="宋体"/>
          <w:sz w:val="28"/>
          <w:szCs w:val="28"/>
        </w:rPr>
      </w:pPr>
    </w:p>
    <w:p w14:paraId="69EB7497">
      <w:pPr>
        <w:spacing w:line="360" w:lineRule="exact"/>
        <w:rPr>
          <w:rFonts w:ascii="宋体" w:hAnsi="宋体"/>
          <w:sz w:val="28"/>
          <w:szCs w:val="28"/>
        </w:rPr>
      </w:pPr>
    </w:p>
    <w:p w14:paraId="12E75020">
      <w:pPr>
        <w:spacing w:line="360" w:lineRule="exact"/>
        <w:rPr>
          <w:rFonts w:ascii="宋体" w:hAnsi="宋体"/>
          <w:sz w:val="28"/>
          <w:szCs w:val="28"/>
        </w:rPr>
      </w:pPr>
    </w:p>
    <w:p w14:paraId="632EF170">
      <w:pPr>
        <w:spacing w:line="360" w:lineRule="exact"/>
        <w:rPr>
          <w:rFonts w:ascii="宋体" w:hAnsi="宋体"/>
          <w:sz w:val="28"/>
          <w:szCs w:val="28"/>
        </w:rPr>
      </w:pPr>
    </w:p>
    <w:p w14:paraId="44541CDB">
      <w:pPr>
        <w:spacing w:line="360" w:lineRule="exact"/>
        <w:rPr>
          <w:rFonts w:ascii="宋体" w:hAnsi="宋体"/>
          <w:sz w:val="28"/>
          <w:szCs w:val="28"/>
        </w:rPr>
      </w:pPr>
    </w:p>
    <w:p w14:paraId="5AADE3EB">
      <w:pPr>
        <w:spacing w:line="360" w:lineRule="exact"/>
        <w:rPr>
          <w:rFonts w:ascii="宋体" w:hAnsi="宋体"/>
          <w:sz w:val="28"/>
          <w:szCs w:val="28"/>
        </w:rPr>
      </w:pPr>
    </w:p>
    <w:p w14:paraId="056732CC">
      <w:pPr>
        <w:spacing w:line="360" w:lineRule="exact"/>
        <w:rPr>
          <w:rFonts w:ascii="宋体" w:hAnsi="宋体"/>
          <w:sz w:val="28"/>
          <w:szCs w:val="28"/>
        </w:rPr>
      </w:pPr>
    </w:p>
    <w:p w14:paraId="0D2D590D">
      <w:pPr>
        <w:spacing w:line="360" w:lineRule="exact"/>
        <w:rPr>
          <w:rFonts w:ascii="宋体" w:hAnsi="宋体"/>
          <w:sz w:val="28"/>
          <w:szCs w:val="28"/>
        </w:rPr>
      </w:pPr>
    </w:p>
    <w:p w14:paraId="3FB14F62">
      <w:pPr>
        <w:spacing w:line="360" w:lineRule="exact"/>
        <w:rPr>
          <w:rFonts w:ascii="宋体" w:hAnsi="宋体"/>
          <w:sz w:val="28"/>
          <w:szCs w:val="28"/>
        </w:rPr>
      </w:pPr>
    </w:p>
    <w:p w14:paraId="39827600">
      <w:pPr>
        <w:spacing w:line="360" w:lineRule="exact"/>
        <w:rPr>
          <w:rFonts w:ascii="宋体" w:hAnsi="宋体"/>
          <w:sz w:val="28"/>
          <w:szCs w:val="28"/>
        </w:rPr>
      </w:pPr>
    </w:p>
    <w:p w14:paraId="0AA0AC9B">
      <w:pPr>
        <w:snapToGrid w:val="0"/>
        <w:spacing w:before="156" w:beforeLines="50" w:after="50" w:line="360" w:lineRule="auto"/>
        <w:ind w:right="480" w:firstLine="321" w:firstLineChars="100"/>
        <w:rPr>
          <w:rFonts w:ascii="宋体" w:hAnsi="宋体"/>
          <w:b/>
          <w:sz w:val="32"/>
          <w:szCs w:val="32"/>
        </w:rPr>
      </w:pPr>
      <w:r>
        <w:rPr>
          <w:rFonts w:hint="eastAsia" w:ascii="宋体" w:hAnsi="宋体"/>
          <w:b/>
          <w:bCs/>
          <w:sz w:val="32"/>
          <w:szCs w:val="32"/>
        </w:rPr>
        <w:t>二、</w:t>
      </w:r>
      <w:r>
        <w:rPr>
          <w:rFonts w:hint="eastAsia" w:ascii="宋体" w:hAnsi="宋体"/>
          <w:b/>
          <w:sz w:val="32"/>
          <w:szCs w:val="32"/>
        </w:rPr>
        <w:t xml:space="preserve">报价商务技术文件格式 </w:t>
      </w:r>
    </w:p>
    <w:p w14:paraId="1F1D3A44">
      <w:pPr>
        <w:snapToGrid w:val="0"/>
        <w:spacing w:before="156" w:beforeLines="50" w:after="50" w:line="360" w:lineRule="auto"/>
        <w:jc w:val="left"/>
        <w:rPr>
          <w:rFonts w:ascii="宋体" w:hAnsi="宋体"/>
          <w:b/>
          <w:sz w:val="32"/>
          <w:szCs w:val="32"/>
        </w:rPr>
      </w:pPr>
      <w:r>
        <w:rPr>
          <w:rFonts w:hint="eastAsia" w:ascii="宋体" w:hAnsi="宋体"/>
          <w:b/>
          <w:sz w:val="32"/>
          <w:szCs w:val="32"/>
        </w:rPr>
        <w:t>1.报价商务技术文件封面格式</w:t>
      </w:r>
    </w:p>
    <w:p w14:paraId="2AC2BDD4">
      <w:pPr>
        <w:snapToGrid w:val="0"/>
        <w:spacing w:before="156" w:beforeLines="50" w:after="50"/>
        <w:rPr>
          <w:rFonts w:ascii="宋体" w:hAnsi="宋体"/>
          <w:bCs/>
          <w:sz w:val="32"/>
          <w:szCs w:val="20"/>
        </w:rPr>
      </w:pPr>
      <w:r>
        <w:rPr>
          <w:rFonts w:hint="eastAsia" w:ascii="宋体" w:hAnsi="宋体"/>
          <w:sz w:val="24"/>
        </w:rPr>
        <w:t xml:space="preserve">                                                    </w:t>
      </w:r>
      <w:r>
        <w:rPr>
          <w:rFonts w:hint="eastAsia" w:ascii="宋体" w:hAnsi="宋体"/>
          <w:bCs/>
        </w:rPr>
        <w:t>正本/副本</w:t>
      </w:r>
    </w:p>
    <w:p w14:paraId="2871938F">
      <w:pPr>
        <w:snapToGrid w:val="0"/>
        <w:spacing w:before="156" w:beforeLines="50" w:after="50"/>
        <w:rPr>
          <w:rFonts w:ascii="宋体" w:hAnsi="宋体"/>
          <w:sz w:val="24"/>
          <w:szCs w:val="20"/>
        </w:rPr>
      </w:pPr>
    </w:p>
    <w:p w14:paraId="4F886D43">
      <w:pPr>
        <w:snapToGrid w:val="0"/>
        <w:spacing w:before="156" w:beforeLines="50" w:after="50"/>
        <w:rPr>
          <w:rFonts w:ascii="宋体" w:hAnsi="宋体"/>
          <w:sz w:val="24"/>
          <w:szCs w:val="20"/>
        </w:rPr>
      </w:pPr>
    </w:p>
    <w:p w14:paraId="01B353FF">
      <w:pPr>
        <w:snapToGrid w:val="0"/>
        <w:spacing w:before="156" w:beforeLines="50" w:after="50"/>
        <w:rPr>
          <w:rFonts w:ascii="宋体" w:hAnsi="宋体"/>
          <w:sz w:val="24"/>
          <w:szCs w:val="20"/>
        </w:rPr>
      </w:pPr>
    </w:p>
    <w:p w14:paraId="410B82F7">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商  务  技  术  文  件</w:t>
      </w:r>
    </w:p>
    <w:p w14:paraId="5F1BA939">
      <w:pPr>
        <w:snapToGrid w:val="0"/>
        <w:spacing w:before="156" w:beforeLines="50" w:after="50"/>
        <w:rPr>
          <w:rFonts w:ascii="宋体" w:hAnsi="宋体"/>
          <w:bCs/>
          <w:sz w:val="24"/>
          <w:szCs w:val="20"/>
        </w:rPr>
      </w:pPr>
    </w:p>
    <w:p w14:paraId="3C4DDF69">
      <w:pPr>
        <w:snapToGrid w:val="0"/>
        <w:spacing w:before="156" w:beforeLines="50" w:after="50"/>
        <w:rPr>
          <w:rFonts w:ascii="宋体" w:hAnsi="宋体"/>
          <w:bCs/>
          <w:sz w:val="24"/>
          <w:szCs w:val="20"/>
        </w:rPr>
      </w:pPr>
    </w:p>
    <w:p w14:paraId="66FE1BD0">
      <w:pPr>
        <w:snapToGrid w:val="0"/>
        <w:spacing w:before="156" w:beforeLines="50" w:after="50"/>
        <w:rPr>
          <w:rFonts w:ascii="宋体" w:hAnsi="宋体"/>
          <w:bCs/>
          <w:sz w:val="24"/>
          <w:szCs w:val="20"/>
        </w:rPr>
      </w:pPr>
    </w:p>
    <w:p w14:paraId="0881BEA3">
      <w:pPr>
        <w:snapToGrid w:val="0"/>
        <w:spacing w:before="156" w:beforeLines="50" w:after="50"/>
        <w:rPr>
          <w:rFonts w:ascii="宋体" w:hAnsi="宋体"/>
          <w:bCs/>
          <w:sz w:val="24"/>
          <w:szCs w:val="20"/>
        </w:rPr>
      </w:pPr>
    </w:p>
    <w:p w14:paraId="63480BD5">
      <w:pPr>
        <w:snapToGrid w:val="0"/>
        <w:spacing w:before="156" w:beforeLines="50" w:after="50"/>
        <w:rPr>
          <w:rFonts w:ascii="宋体" w:hAnsi="宋体"/>
          <w:bCs/>
          <w:sz w:val="24"/>
          <w:szCs w:val="20"/>
        </w:rPr>
      </w:pPr>
    </w:p>
    <w:p w14:paraId="1AB3A193">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14:paraId="3EF18362">
      <w:pPr>
        <w:snapToGrid w:val="0"/>
        <w:spacing w:before="156" w:beforeLines="50" w:after="50"/>
        <w:ind w:firstLine="720" w:firstLineChars="225"/>
        <w:rPr>
          <w:rFonts w:ascii="仿宋_GB2312" w:hAnsi="仿宋_GB2312" w:eastAsia="仿宋_GB2312" w:cs="仿宋_GB2312"/>
          <w:bCs/>
          <w:sz w:val="32"/>
          <w:szCs w:val="32"/>
        </w:rPr>
      </w:pPr>
    </w:p>
    <w:p w14:paraId="7BF31D8C">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14:paraId="1FDA52CD">
      <w:pPr>
        <w:snapToGrid w:val="0"/>
        <w:spacing w:before="156" w:beforeLines="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14:paraId="282BA9B7">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所竞分标（如有则填写，无分标时填写“无”或者留空）：</w:t>
      </w:r>
    </w:p>
    <w:p w14:paraId="5C157F62">
      <w:pPr>
        <w:snapToGrid w:val="0"/>
        <w:spacing w:before="156" w:beforeLines="50" w:after="50"/>
        <w:ind w:firstLine="720" w:firstLineChars="225"/>
        <w:rPr>
          <w:rFonts w:ascii="仿宋_GB2312" w:hAnsi="仿宋_GB2312" w:eastAsia="仿宋_GB2312" w:cs="仿宋_GB2312"/>
          <w:bCs/>
          <w:sz w:val="32"/>
          <w:szCs w:val="32"/>
        </w:rPr>
      </w:pPr>
    </w:p>
    <w:p w14:paraId="411818AD">
      <w:pPr>
        <w:pStyle w:val="7"/>
        <w:snapToGrid w:val="0"/>
        <w:spacing w:before="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14:paraId="748E7DA6">
      <w:pPr>
        <w:pStyle w:val="7"/>
        <w:snapToGrid w:val="0"/>
        <w:spacing w:before="50" w:after="50"/>
        <w:ind w:firstLine="720" w:firstLineChars="225"/>
        <w:rPr>
          <w:rFonts w:ascii="仿宋_GB2312" w:hAnsi="仿宋_GB2312" w:eastAsia="仿宋_GB2312" w:cs="仿宋_GB2312"/>
          <w:bCs/>
          <w:sz w:val="32"/>
          <w:szCs w:val="32"/>
        </w:rPr>
      </w:pPr>
    </w:p>
    <w:p w14:paraId="0F813BB4">
      <w:pPr>
        <w:pStyle w:val="7"/>
        <w:snapToGrid w:val="0"/>
        <w:spacing w:before="50" w:after="50"/>
        <w:ind w:firstLine="720" w:firstLineChars="225"/>
        <w:rPr>
          <w:rFonts w:ascii="仿宋_GB2312" w:hAnsi="仿宋_GB2312" w:eastAsia="仿宋_GB2312" w:cs="仿宋_GB2312"/>
          <w:bCs/>
          <w:sz w:val="32"/>
          <w:szCs w:val="32"/>
        </w:rPr>
      </w:pPr>
    </w:p>
    <w:p w14:paraId="1BC8BB19">
      <w:pPr>
        <w:pStyle w:val="7"/>
        <w:snapToGrid w:val="0"/>
        <w:spacing w:before="50" w:after="50"/>
        <w:ind w:firstLine="1280" w:firstLineChars="400"/>
        <w:rPr>
          <w:rFonts w:ascii="仿宋_GB2312" w:hAnsi="仿宋_GB2312" w:eastAsia="仿宋_GB2312" w:cs="仿宋_GB2312"/>
          <w:bCs/>
          <w:sz w:val="32"/>
          <w:szCs w:val="32"/>
        </w:rPr>
      </w:pPr>
    </w:p>
    <w:p w14:paraId="34D67889">
      <w:pPr>
        <w:snapToGrid w:val="0"/>
        <w:spacing w:before="156"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7F90FDBD">
      <w:pPr>
        <w:snapToGrid w:val="0"/>
        <w:spacing w:before="156" w:beforeLines="50" w:after="50" w:line="360" w:lineRule="auto"/>
        <w:ind w:left="142"/>
        <w:jc w:val="left"/>
        <w:rPr>
          <w:rFonts w:ascii="宋体" w:hAnsi="宋体"/>
          <w:b/>
          <w:bCs/>
          <w:sz w:val="24"/>
        </w:rPr>
      </w:pPr>
      <w:r>
        <w:rPr>
          <w:rFonts w:ascii="宋体" w:hAnsi="宋体"/>
          <w:sz w:val="24"/>
        </w:rPr>
        <w:br w:type="page"/>
      </w:r>
      <w:r>
        <w:rPr>
          <w:rFonts w:hint="eastAsia" w:ascii="宋体" w:hAnsi="宋体"/>
          <w:b/>
          <w:bCs/>
          <w:sz w:val="32"/>
          <w:szCs w:val="32"/>
        </w:rPr>
        <w:t>2.报价商务技术文件目录</w:t>
      </w:r>
    </w:p>
    <w:p w14:paraId="7FCF12EC">
      <w:pPr>
        <w:snapToGrid w:val="0"/>
        <w:spacing w:before="156" w:beforeLines="50" w:after="50" w:line="360" w:lineRule="auto"/>
        <w:ind w:firstLine="640" w:firstLineChars="200"/>
        <w:rPr>
          <w:rFonts w:ascii="宋体" w:hAnsi="宋体"/>
          <w:sz w:val="32"/>
          <w:szCs w:val="32"/>
        </w:rPr>
      </w:pPr>
      <w:r>
        <w:rPr>
          <w:rFonts w:hint="eastAsia" w:ascii="宋体" w:hAnsi="宋体"/>
          <w:sz w:val="32"/>
          <w:szCs w:val="32"/>
        </w:rPr>
        <w:t>根据磋商文件规定及供应商提供的材料自行编写目录（部分格式后附）。</w:t>
      </w:r>
    </w:p>
    <w:p w14:paraId="7B2510EC">
      <w:pPr>
        <w:spacing w:line="400" w:lineRule="exact"/>
        <w:rPr>
          <w:rFonts w:ascii="仿宋_GB2312" w:hAnsi="仿宋_GB2312" w:eastAsia="仿宋_GB2312" w:cs="仿宋_GB2312"/>
          <w:sz w:val="32"/>
          <w:szCs w:val="32"/>
        </w:rPr>
      </w:pPr>
    </w:p>
    <w:p w14:paraId="723C2589">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br w:type="page"/>
      </w:r>
      <w:r>
        <w:rPr>
          <w:rFonts w:hint="eastAsia" w:ascii="宋体" w:hAnsi="宋体" w:cs="宋体"/>
          <w:b/>
          <w:bCs/>
          <w:sz w:val="32"/>
          <w:szCs w:val="32"/>
        </w:rPr>
        <w:t>无串通竞标行为的承诺函</w:t>
      </w:r>
    </w:p>
    <w:p w14:paraId="087B5A2C">
      <w:pPr>
        <w:spacing w:line="400" w:lineRule="exact"/>
        <w:ind w:firstLine="640" w:firstLineChars="200"/>
        <w:rPr>
          <w:rFonts w:ascii="仿宋_GB2312" w:hAnsi="仿宋_GB2312" w:eastAsia="仿宋_GB2312" w:cs="仿宋_GB2312"/>
          <w:sz w:val="32"/>
          <w:szCs w:val="32"/>
        </w:rPr>
      </w:pPr>
    </w:p>
    <w:p w14:paraId="7360A101">
      <w:pPr>
        <w:spacing w:line="360" w:lineRule="auto"/>
        <w:ind w:firstLine="482" w:firstLineChars="200"/>
        <w:rPr>
          <w:rFonts w:ascii="宋体" w:hAnsi="宋体" w:cs="仿宋_GB2312"/>
          <w:b/>
          <w:bCs/>
          <w:sz w:val="24"/>
        </w:rPr>
      </w:pPr>
      <w:r>
        <w:rPr>
          <w:rFonts w:hint="eastAsia" w:ascii="宋体" w:hAnsi="宋体" w:cs="仿宋_GB2312"/>
          <w:b/>
          <w:bCs/>
          <w:sz w:val="24"/>
        </w:rPr>
        <w:t>一、我方承诺无下列相互串通竞标的情形：</w:t>
      </w:r>
    </w:p>
    <w:p w14:paraId="4FF86E33">
      <w:pPr>
        <w:spacing w:line="360" w:lineRule="auto"/>
        <w:ind w:firstLine="480" w:firstLineChars="200"/>
        <w:rPr>
          <w:rFonts w:ascii="宋体" w:hAnsi="宋体" w:cs="仿宋_GB2312"/>
          <w:sz w:val="24"/>
        </w:rPr>
      </w:pPr>
      <w:r>
        <w:rPr>
          <w:rFonts w:hint="eastAsia" w:ascii="宋体" w:hAnsi="宋体" w:cs="仿宋_GB2312"/>
          <w:sz w:val="24"/>
        </w:rPr>
        <w:t>1.不同供应商的响应文件由同一单位或者个人编制；或者不同供应商报名的IP地址一致的；</w:t>
      </w:r>
    </w:p>
    <w:p w14:paraId="28C032B2">
      <w:pPr>
        <w:spacing w:line="360" w:lineRule="auto"/>
        <w:ind w:firstLine="480" w:firstLineChars="200"/>
        <w:rPr>
          <w:rFonts w:ascii="宋体" w:hAnsi="宋体" w:cs="仿宋_GB2312"/>
          <w:sz w:val="24"/>
        </w:rPr>
      </w:pPr>
      <w:r>
        <w:rPr>
          <w:rFonts w:hint="eastAsia" w:ascii="宋体" w:hAnsi="宋体" w:cs="仿宋_GB2312"/>
          <w:sz w:val="24"/>
        </w:rPr>
        <w:t>2.不同供应商委托同一单位或者个人办理竞标事宜；</w:t>
      </w:r>
    </w:p>
    <w:p w14:paraId="3F9801F0">
      <w:pPr>
        <w:spacing w:line="360" w:lineRule="auto"/>
        <w:ind w:firstLine="480" w:firstLineChars="200"/>
        <w:rPr>
          <w:rFonts w:ascii="宋体" w:hAnsi="宋体" w:cs="仿宋_GB2312"/>
          <w:sz w:val="24"/>
        </w:rPr>
      </w:pPr>
      <w:r>
        <w:rPr>
          <w:rFonts w:hint="eastAsia" w:ascii="宋体" w:hAnsi="宋体" w:cs="仿宋_GB2312"/>
          <w:sz w:val="24"/>
        </w:rPr>
        <w:t>3.不同供应商的响应文件载明的项目管理员为同一个人；</w:t>
      </w:r>
    </w:p>
    <w:p w14:paraId="64AF4A6F">
      <w:pPr>
        <w:spacing w:line="360" w:lineRule="auto"/>
        <w:ind w:firstLine="480" w:firstLineChars="200"/>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3CB9D8AB">
      <w:pPr>
        <w:spacing w:line="360" w:lineRule="auto"/>
        <w:ind w:firstLine="480" w:firstLineChars="200"/>
        <w:rPr>
          <w:rFonts w:ascii="宋体" w:hAnsi="宋体" w:cs="仿宋_GB2312"/>
          <w:sz w:val="24"/>
        </w:rPr>
      </w:pPr>
      <w:r>
        <w:rPr>
          <w:rFonts w:hint="eastAsia" w:ascii="宋体" w:hAnsi="宋体" w:cs="仿宋_GB2312"/>
          <w:sz w:val="24"/>
        </w:rPr>
        <w:t>5.不同供应商的响应文件相互混装；</w:t>
      </w:r>
    </w:p>
    <w:p w14:paraId="2BB2DC87">
      <w:pPr>
        <w:spacing w:line="360" w:lineRule="auto"/>
        <w:ind w:firstLine="480" w:firstLineChars="200"/>
        <w:rPr>
          <w:rFonts w:ascii="宋体" w:hAnsi="宋体" w:cs="仿宋_GB2312"/>
          <w:sz w:val="24"/>
        </w:rPr>
      </w:pPr>
      <w:r>
        <w:rPr>
          <w:rFonts w:hint="eastAsia" w:ascii="宋体" w:hAnsi="宋体" w:cs="仿宋_GB2312"/>
          <w:sz w:val="24"/>
        </w:rPr>
        <w:t>6.不同供应商的磋商保证金从同一单位或者个人账户转出。</w:t>
      </w:r>
    </w:p>
    <w:p w14:paraId="4135DF17">
      <w:pPr>
        <w:spacing w:line="360" w:lineRule="auto"/>
        <w:ind w:firstLine="482" w:firstLineChars="200"/>
        <w:rPr>
          <w:rFonts w:ascii="宋体" w:hAnsi="宋体" w:cs="仿宋_GB2312"/>
          <w:b/>
          <w:bCs/>
          <w:sz w:val="24"/>
        </w:rPr>
      </w:pPr>
      <w:r>
        <w:rPr>
          <w:rFonts w:hint="eastAsia" w:ascii="宋体" w:hAnsi="宋体" w:cs="仿宋_GB2312"/>
          <w:b/>
          <w:bCs/>
          <w:sz w:val="24"/>
        </w:rPr>
        <w:t>二、我方承诺无下列恶意串通的情形：</w:t>
      </w:r>
    </w:p>
    <w:p w14:paraId="302D2AB6">
      <w:pPr>
        <w:spacing w:line="360" w:lineRule="auto"/>
        <w:ind w:firstLine="480" w:firstLineChars="200"/>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66934DA8">
      <w:pPr>
        <w:spacing w:line="360" w:lineRule="auto"/>
        <w:ind w:firstLine="480" w:firstLineChars="200"/>
        <w:rPr>
          <w:rFonts w:ascii="宋体" w:hAnsi="宋体" w:cs="仿宋_GB2312"/>
          <w:sz w:val="24"/>
        </w:rPr>
      </w:pPr>
      <w:r>
        <w:rPr>
          <w:rFonts w:hint="eastAsia" w:ascii="宋体" w:hAnsi="宋体" w:cs="仿宋_GB2312"/>
          <w:sz w:val="24"/>
        </w:rPr>
        <w:t>2.供应商按照采购人或者采购代理机构的授意撤换、修改响应文件；</w:t>
      </w:r>
    </w:p>
    <w:p w14:paraId="26C3B017">
      <w:pPr>
        <w:spacing w:line="360" w:lineRule="auto"/>
        <w:ind w:firstLine="480" w:firstLineChars="200"/>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4F408DAB">
      <w:pPr>
        <w:spacing w:line="360" w:lineRule="auto"/>
        <w:ind w:firstLine="480" w:firstLineChars="200"/>
        <w:rPr>
          <w:rFonts w:ascii="宋体" w:hAnsi="宋体" w:cs="仿宋_GB2312"/>
          <w:sz w:val="24"/>
        </w:rPr>
      </w:pPr>
      <w:r>
        <w:rPr>
          <w:rFonts w:hint="eastAsia" w:ascii="宋体" w:hAnsi="宋体" w:cs="仿宋_GB2312"/>
          <w:sz w:val="24"/>
        </w:rPr>
        <w:t>4.属于同一集团、协会、商会等组织成员的供应商按照该组织要求协同参加采购活动；</w:t>
      </w:r>
    </w:p>
    <w:p w14:paraId="57C9234A">
      <w:pPr>
        <w:spacing w:line="360" w:lineRule="auto"/>
        <w:ind w:firstLine="480" w:firstLineChars="200"/>
        <w:rPr>
          <w:rFonts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0C242BE1">
      <w:pPr>
        <w:spacing w:line="360" w:lineRule="auto"/>
        <w:ind w:firstLine="480" w:firstLineChars="200"/>
        <w:rPr>
          <w:rFonts w:ascii="宋体" w:hAnsi="宋体" w:cs="仿宋_GB2312"/>
          <w:sz w:val="24"/>
        </w:rPr>
      </w:pPr>
      <w:r>
        <w:rPr>
          <w:rFonts w:hint="eastAsia" w:ascii="宋体" w:hAnsi="宋体" w:cs="仿宋_GB2312"/>
          <w:sz w:val="24"/>
        </w:rPr>
        <w:t>6.供应商之间商定部分供应商放弃参加采购活动或者放弃成交；</w:t>
      </w:r>
    </w:p>
    <w:p w14:paraId="33BB3760">
      <w:pPr>
        <w:spacing w:line="360" w:lineRule="auto"/>
        <w:ind w:firstLine="480" w:firstLineChars="200"/>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39961477">
      <w:pPr>
        <w:spacing w:line="360" w:lineRule="auto"/>
        <w:ind w:firstLine="480" w:firstLineChars="200"/>
        <w:rPr>
          <w:rFonts w:ascii="宋体" w:hAnsi="宋体" w:cs="仿宋_GB2312"/>
          <w:sz w:val="24"/>
        </w:rPr>
      </w:pPr>
    </w:p>
    <w:p w14:paraId="5A8FEE0F">
      <w:pPr>
        <w:spacing w:line="360" w:lineRule="auto"/>
        <w:ind w:firstLine="482" w:firstLineChars="200"/>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3658B319">
      <w:pPr>
        <w:spacing w:line="360" w:lineRule="auto"/>
        <w:rPr>
          <w:rFonts w:ascii="宋体" w:hAnsi="宋体" w:cs="仿宋_GB2312"/>
          <w:sz w:val="24"/>
        </w:rPr>
      </w:pPr>
    </w:p>
    <w:p w14:paraId="4C1CCECE">
      <w:pPr>
        <w:spacing w:line="360" w:lineRule="auto"/>
        <w:ind w:firstLine="3600" w:firstLineChars="1500"/>
        <w:rPr>
          <w:rFonts w:ascii="宋体" w:hAnsi="宋体" w:cs="仿宋_GB2312"/>
          <w:sz w:val="24"/>
        </w:rPr>
      </w:pPr>
      <w:r>
        <w:rPr>
          <w:rFonts w:hint="eastAsia" w:ascii="宋体" w:hAnsi="宋体" w:cs="仿宋_GB2312"/>
          <w:sz w:val="24"/>
        </w:rPr>
        <w:t>供应商（盖公章）：</w:t>
      </w:r>
    </w:p>
    <w:p w14:paraId="070004D3">
      <w:pPr>
        <w:spacing w:line="360" w:lineRule="auto"/>
        <w:ind w:firstLine="480" w:firstLineChars="200"/>
        <w:jc w:val="center"/>
        <w:rPr>
          <w:rFonts w:ascii="仿宋_GB2312" w:hAnsi="仿宋_GB2312" w:eastAsia="仿宋_GB2312" w:cs="仿宋_GB2312"/>
          <w:sz w:val="32"/>
          <w:szCs w:val="32"/>
        </w:rPr>
      </w:pPr>
      <w:r>
        <w:rPr>
          <w:rFonts w:hint="eastAsia" w:ascii="宋体" w:hAnsi="宋体" w:cs="仿宋_GB2312"/>
          <w:sz w:val="24"/>
        </w:rPr>
        <w:t xml:space="preserve">                               年   月   日</w:t>
      </w:r>
    </w:p>
    <w:p w14:paraId="39FBAD70">
      <w:r>
        <w:rPr>
          <w:rFonts w:hint="eastAsia" w:ascii="方正小标宋简体" w:hAnsi="方正小标宋简体" w:eastAsia="方正小标宋简体" w:cs="方正小标宋简体"/>
          <w:bCs/>
          <w:sz w:val="44"/>
          <w:szCs w:val="44"/>
        </w:rPr>
        <w:br w:type="page"/>
      </w:r>
    </w:p>
    <w:p w14:paraId="575CD331">
      <w:pPr>
        <w:spacing w:line="360" w:lineRule="auto"/>
        <w:jc w:val="center"/>
        <w:rPr>
          <w:rFonts w:ascii="宋体" w:hAnsi="宋体" w:cs="宋体"/>
          <w:b/>
          <w:bCs/>
          <w:sz w:val="32"/>
          <w:szCs w:val="32"/>
        </w:rPr>
      </w:pPr>
      <w:r>
        <w:rPr>
          <w:rFonts w:hint="eastAsia" w:ascii="宋体" w:hAnsi="宋体" w:cs="宋体"/>
          <w:b/>
          <w:bCs/>
          <w:sz w:val="32"/>
          <w:szCs w:val="32"/>
        </w:rPr>
        <w:t>竞  标  报  价  表</w:t>
      </w:r>
    </w:p>
    <w:p w14:paraId="141A321A">
      <w:pPr>
        <w:spacing w:line="440" w:lineRule="exact"/>
        <w:jc w:val="center"/>
        <w:rPr>
          <w:rFonts w:ascii="方正小标宋简体" w:hAnsi="方正小标宋简体" w:eastAsia="方正小标宋简体" w:cs="方正小标宋简体"/>
          <w:bCs/>
          <w:sz w:val="32"/>
          <w:szCs w:val="32"/>
        </w:rPr>
      </w:pPr>
    </w:p>
    <w:p w14:paraId="5F9C1555">
      <w:pPr>
        <w:snapToGrid w:val="0"/>
        <w:spacing w:before="50" w:after="50" w:line="360" w:lineRule="auto"/>
        <w:rPr>
          <w:rFonts w:ascii="宋体" w:hAnsi="宋体" w:cs="仿宋_GB2312"/>
          <w:sz w:val="24"/>
        </w:rPr>
      </w:pPr>
      <w:r>
        <w:rPr>
          <w:rFonts w:hint="eastAsia" w:ascii="宋体" w:hAnsi="宋体" w:cs="仿宋_GB2312"/>
          <w:sz w:val="24"/>
        </w:rPr>
        <w:t>项目名称：</w:t>
      </w:r>
      <w:r>
        <w:rPr>
          <w:rFonts w:hint="eastAsia" w:ascii="宋体" w:hAnsi="宋体" w:cs="仿宋_GB2312"/>
          <w:sz w:val="24"/>
          <w:u w:val="single"/>
        </w:rPr>
        <w:t xml:space="preserve">                </w:t>
      </w:r>
      <w:r>
        <w:rPr>
          <w:rFonts w:hint="eastAsia" w:ascii="宋体" w:hAnsi="宋体" w:cs="仿宋_GB2312"/>
          <w:sz w:val="24"/>
        </w:rPr>
        <w:t>项目编号：</w:t>
      </w:r>
      <w:r>
        <w:rPr>
          <w:rFonts w:hint="eastAsia" w:ascii="宋体" w:hAnsi="宋体" w:cs="仿宋_GB2312"/>
          <w:sz w:val="24"/>
          <w:u w:val="single"/>
        </w:rPr>
        <w:t xml:space="preserve">                   </w:t>
      </w:r>
      <w:r>
        <w:rPr>
          <w:rFonts w:hint="eastAsia" w:ascii="宋体" w:hAnsi="宋体" w:cs="仿宋_GB2312"/>
          <w:sz w:val="24"/>
        </w:rPr>
        <w:t xml:space="preserve">     </w:t>
      </w:r>
    </w:p>
    <w:tbl>
      <w:tblPr>
        <w:tblStyle w:val="33"/>
        <w:tblW w:w="4993"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544"/>
        <w:gridCol w:w="1474"/>
        <w:gridCol w:w="1713"/>
        <w:gridCol w:w="1470"/>
        <w:gridCol w:w="1548"/>
        <w:gridCol w:w="1339"/>
      </w:tblGrid>
      <w:tr w14:paraId="35A2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315" w:type="pct"/>
            <w:tcBorders>
              <w:top w:val="single" w:color="auto" w:sz="4" w:space="0"/>
              <w:left w:val="single" w:color="auto" w:sz="4" w:space="0"/>
              <w:bottom w:val="single" w:color="auto" w:sz="4" w:space="0"/>
              <w:right w:val="single" w:color="auto" w:sz="4" w:space="0"/>
            </w:tcBorders>
            <w:vAlign w:val="center"/>
          </w:tcPr>
          <w:p w14:paraId="37FFD463">
            <w:pPr>
              <w:spacing w:line="360" w:lineRule="exact"/>
              <w:jc w:val="center"/>
              <w:rPr>
                <w:rFonts w:ascii="宋体" w:hAnsi="宋体" w:cs="仿宋_GB2312"/>
                <w:sz w:val="24"/>
              </w:rPr>
            </w:pPr>
            <w:r>
              <w:rPr>
                <w:rFonts w:hint="eastAsia" w:ascii="宋体" w:hAnsi="宋体" w:cs="仿宋_GB2312"/>
                <w:sz w:val="24"/>
              </w:rPr>
              <w:t>序号</w:t>
            </w:r>
          </w:p>
        </w:tc>
        <w:tc>
          <w:tcPr>
            <w:tcW w:w="796" w:type="pct"/>
            <w:tcBorders>
              <w:top w:val="single" w:color="auto" w:sz="4" w:space="0"/>
              <w:left w:val="single" w:color="auto" w:sz="4" w:space="0"/>
              <w:bottom w:val="single" w:color="auto" w:sz="4" w:space="0"/>
              <w:right w:val="single" w:color="auto" w:sz="4" w:space="0"/>
            </w:tcBorders>
            <w:vAlign w:val="center"/>
          </w:tcPr>
          <w:p w14:paraId="6C4BB29E">
            <w:pPr>
              <w:spacing w:line="360" w:lineRule="exact"/>
              <w:jc w:val="center"/>
              <w:rPr>
                <w:rFonts w:ascii="宋体" w:hAnsi="宋体" w:cs="仿宋_GB2312"/>
                <w:sz w:val="24"/>
              </w:rPr>
            </w:pPr>
            <w:r>
              <w:rPr>
                <w:rFonts w:hint="eastAsia" w:ascii="宋体" w:hAnsi="宋体" w:cs="仿宋_GB2312"/>
                <w:sz w:val="24"/>
              </w:rPr>
              <w:t>服务名称</w:t>
            </w:r>
          </w:p>
        </w:tc>
        <w:tc>
          <w:tcPr>
            <w:tcW w:w="760" w:type="pct"/>
            <w:tcBorders>
              <w:top w:val="single" w:color="auto" w:sz="4" w:space="0"/>
              <w:left w:val="single" w:color="auto" w:sz="4" w:space="0"/>
              <w:bottom w:val="single" w:color="auto" w:sz="4" w:space="0"/>
              <w:right w:val="single" w:color="auto" w:sz="4" w:space="0"/>
            </w:tcBorders>
            <w:vAlign w:val="center"/>
          </w:tcPr>
          <w:p w14:paraId="3F32940D">
            <w:pPr>
              <w:spacing w:line="360" w:lineRule="exact"/>
              <w:jc w:val="center"/>
              <w:rPr>
                <w:rFonts w:ascii="宋体" w:hAnsi="宋体" w:cs="仿宋_GB2312"/>
                <w:sz w:val="24"/>
              </w:rPr>
            </w:pPr>
            <w:r>
              <w:rPr>
                <w:rFonts w:hint="eastAsia" w:ascii="宋体" w:hAnsi="宋体" w:cs="仿宋_GB2312"/>
                <w:sz w:val="24"/>
              </w:rPr>
              <w:t>计量单位</w:t>
            </w:r>
          </w:p>
        </w:tc>
        <w:tc>
          <w:tcPr>
            <w:tcW w:w="880" w:type="pct"/>
            <w:tcBorders>
              <w:top w:val="single" w:color="auto" w:sz="4" w:space="0"/>
              <w:left w:val="single" w:color="auto" w:sz="4" w:space="0"/>
              <w:bottom w:val="single" w:color="auto" w:sz="4" w:space="0"/>
              <w:right w:val="single" w:color="auto" w:sz="4" w:space="0"/>
            </w:tcBorders>
            <w:vAlign w:val="center"/>
          </w:tcPr>
          <w:p w14:paraId="6B90CDE7">
            <w:pPr>
              <w:spacing w:line="360" w:lineRule="exact"/>
              <w:jc w:val="center"/>
              <w:rPr>
                <w:rFonts w:ascii="宋体" w:hAnsi="宋体" w:cs="仿宋_GB2312"/>
                <w:sz w:val="24"/>
              </w:rPr>
            </w:pPr>
            <w:r>
              <w:rPr>
                <w:rFonts w:hint="eastAsia" w:ascii="宋体" w:hAnsi="宋体" w:cs="仿宋_GB2312"/>
                <w:sz w:val="24"/>
              </w:rPr>
              <w:t>数量</w:t>
            </w:r>
          </w:p>
        </w:tc>
        <w:tc>
          <w:tcPr>
            <w:tcW w:w="758" w:type="pct"/>
            <w:tcBorders>
              <w:top w:val="single" w:color="auto" w:sz="4" w:space="0"/>
              <w:left w:val="single" w:color="auto" w:sz="4" w:space="0"/>
              <w:bottom w:val="single" w:color="auto" w:sz="4" w:space="0"/>
              <w:right w:val="single" w:color="auto" w:sz="4" w:space="0"/>
            </w:tcBorders>
            <w:vAlign w:val="center"/>
          </w:tcPr>
          <w:p w14:paraId="072DCF7B">
            <w:pPr>
              <w:widowControl/>
              <w:jc w:val="center"/>
              <w:textAlignment w:val="center"/>
              <w:rPr>
                <w:rFonts w:ascii="宋体" w:hAnsi="宋体" w:cs="仿宋_GB2312"/>
                <w:sz w:val="24"/>
              </w:rPr>
            </w:pPr>
            <w:r>
              <w:rPr>
                <w:rFonts w:hint="eastAsia" w:ascii="宋体" w:hAnsi="宋体" w:cs="宋体"/>
                <w:kern w:val="0"/>
                <w:szCs w:val="21"/>
                <w:lang w:bidi="ar"/>
              </w:rPr>
              <w:t>单价（元）</w:t>
            </w:r>
          </w:p>
        </w:tc>
        <w:tc>
          <w:tcPr>
            <w:tcW w:w="798" w:type="pct"/>
            <w:tcBorders>
              <w:top w:val="single" w:color="auto" w:sz="4" w:space="0"/>
              <w:left w:val="single" w:color="auto" w:sz="4" w:space="0"/>
              <w:bottom w:val="single" w:color="auto" w:sz="4" w:space="0"/>
              <w:right w:val="single" w:color="auto" w:sz="4" w:space="0"/>
            </w:tcBorders>
            <w:vAlign w:val="center"/>
          </w:tcPr>
          <w:p w14:paraId="3173B729">
            <w:pPr>
              <w:widowControl/>
              <w:jc w:val="center"/>
              <w:textAlignment w:val="center"/>
              <w:rPr>
                <w:rFonts w:ascii="宋体" w:hAnsi="宋体" w:cs="仿宋_GB2312"/>
                <w:sz w:val="24"/>
              </w:rPr>
            </w:pPr>
            <w:r>
              <w:rPr>
                <w:rFonts w:hint="eastAsia" w:ascii="宋体" w:hAnsi="宋体" w:cs="宋体"/>
                <w:kern w:val="0"/>
                <w:szCs w:val="21"/>
                <w:lang w:bidi="ar"/>
              </w:rPr>
              <w:t>小计（元）</w:t>
            </w:r>
          </w:p>
        </w:tc>
        <w:tc>
          <w:tcPr>
            <w:tcW w:w="688" w:type="pct"/>
            <w:tcBorders>
              <w:top w:val="single" w:color="auto" w:sz="4" w:space="0"/>
              <w:left w:val="single" w:color="auto" w:sz="4" w:space="0"/>
              <w:bottom w:val="single" w:color="auto" w:sz="4" w:space="0"/>
              <w:right w:val="single" w:color="auto" w:sz="4" w:space="0"/>
            </w:tcBorders>
            <w:vAlign w:val="center"/>
          </w:tcPr>
          <w:p w14:paraId="15609D9D">
            <w:pPr>
              <w:spacing w:line="360" w:lineRule="exact"/>
              <w:jc w:val="center"/>
              <w:rPr>
                <w:rFonts w:ascii="宋体" w:hAnsi="宋体" w:cs="仿宋_GB2312"/>
                <w:sz w:val="24"/>
              </w:rPr>
            </w:pPr>
            <w:r>
              <w:rPr>
                <w:rFonts w:hint="eastAsia" w:ascii="宋体" w:hAnsi="宋体" w:cs="仿宋_GB2312"/>
                <w:sz w:val="24"/>
              </w:rPr>
              <w:t>备注</w:t>
            </w:r>
          </w:p>
        </w:tc>
      </w:tr>
      <w:tr w14:paraId="714D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315" w:type="pct"/>
            <w:tcBorders>
              <w:top w:val="single" w:color="auto" w:sz="4" w:space="0"/>
              <w:left w:val="single" w:color="auto" w:sz="4" w:space="0"/>
              <w:right w:val="single" w:color="auto" w:sz="4" w:space="0"/>
            </w:tcBorders>
            <w:vAlign w:val="center"/>
          </w:tcPr>
          <w:p w14:paraId="53682AB8">
            <w:pPr>
              <w:spacing w:line="360" w:lineRule="exact"/>
              <w:jc w:val="center"/>
              <w:rPr>
                <w:rFonts w:ascii="宋体" w:hAnsi="宋体" w:cs="仿宋_GB2312"/>
                <w:sz w:val="24"/>
              </w:rPr>
            </w:pPr>
            <w:r>
              <w:rPr>
                <w:rFonts w:hint="eastAsia" w:ascii="宋体" w:hAnsi="宋体" w:cs="仿宋_GB2312"/>
                <w:sz w:val="24"/>
              </w:rPr>
              <w:t>1</w:t>
            </w:r>
          </w:p>
        </w:tc>
        <w:tc>
          <w:tcPr>
            <w:tcW w:w="796" w:type="pct"/>
            <w:tcBorders>
              <w:top w:val="single" w:color="auto" w:sz="4" w:space="0"/>
              <w:left w:val="single" w:color="auto" w:sz="4" w:space="0"/>
              <w:right w:val="single" w:color="auto" w:sz="4" w:space="0"/>
            </w:tcBorders>
            <w:vAlign w:val="center"/>
          </w:tcPr>
          <w:p w14:paraId="7B9BC0C4">
            <w:pPr>
              <w:spacing w:line="360" w:lineRule="exact"/>
              <w:jc w:val="center"/>
              <w:rPr>
                <w:rFonts w:ascii="宋体" w:hAnsi="宋体" w:cs="仿宋_GB2312"/>
                <w:sz w:val="24"/>
              </w:rPr>
            </w:pPr>
          </w:p>
        </w:tc>
        <w:tc>
          <w:tcPr>
            <w:tcW w:w="760" w:type="pct"/>
            <w:tcBorders>
              <w:top w:val="single" w:color="auto" w:sz="4" w:space="0"/>
              <w:left w:val="single" w:color="auto" w:sz="4" w:space="0"/>
              <w:bottom w:val="single" w:color="auto" w:sz="4" w:space="0"/>
              <w:right w:val="single" w:color="auto" w:sz="4" w:space="0"/>
            </w:tcBorders>
            <w:vAlign w:val="center"/>
          </w:tcPr>
          <w:p w14:paraId="7F726E9F">
            <w:pPr>
              <w:spacing w:line="360" w:lineRule="exact"/>
              <w:jc w:val="center"/>
              <w:rPr>
                <w:rFonts w:ascii="宋体" w:hAnsi="宋体" w:cs="仿宋_GB2312"/>
                <w:sz w:val="24"/>
              </w:rPr>
            </w:pPr>
          </w:p>
        </w:tc>
        <w:tc>
          <w:tcPr>
            <w:tcW w:w="880" w:type="pct"/>
            <w:tcBorders>
              <w:top w:val="single" w:color="auto" w:sz="4" w:space="0"/>
              <w:left w:val="single" w:color="auto" w:sz="4" w:space="0"/>
              <w:bottom w:val="single" w:color="auto" w:sz="4" w:space="0"/>
              <w:right w:val="single" w:color="auto" w:sz="4" w:space="0"/>
            </w:tcBorders>
            <w:vAlign w:val="center"/>
          </w:tcPr>
          <w:p w14:paraId="12AC41B7">
            <w:pPr>
              <w:spacing w:line="360" w:lineRule="exact"/>
              <w:jc w:val="center"/>
              <w:rPr>
                <w:rFonts w:ascii="宋体" w:hAnsi="宋体" w:cs="仿宋_GB2312"/>
                <w:sz w:val="24"/>
              </w:rPr>
            </w:pPr>
          </w:p>
        </w:tc>
        <w:tc>
          <w:tcPr>
            <w:tcW w:w="758" w:type="pct"/>
            <w:tcBorders>
              <w:top w:val="single" w:color="auto" w:sz="4" w:space="0"/>
              <w:left w:val="single" w:color="auto" w:sz="4" w:space="0"/>
              <w:bottom w:val="single" w:color="auto" w:sz="4" w:space="0"/>
              <w:right w:val="single" w:color="auto" w:sz="4" w:space="0"/>
            </w:tcBorders>
            <w:vAlign w:val="center"/>
          </w:tcPr>
          <w:p w14:paraId="5E33FDAF">
            <w:pPr>
              <w:spacing w:line="360" w:lineRule="exact"/>
              <w:jc w:val="left"/>
              <w:rPr>
                <w:rFonts w:ascii="宋体" w:hAnsi="宋体" w:cs="仿宋_GB2312"/>
                <w:sz w:val="24"/>
                <w:u w:val="single"/>
              </w:rPr>
            </w:pPr>
          </w:p>
        </w:tc>
        <w:tc>
          <w:tcPr>
            <w:tcW w:w="798" w:type="pct"/>
            <w:tcBorders>
              <w:top w:val="single" w:color="auto" w:sz="4" w:space="0"/>
              <w:left w:val="single" w:color="auto" w:sz="4" w:space="0"/>
              <w:bottom w:val="single" w:color="auto" w:sz="4" w:space="0"/>
              <w:right w:val="single" w:color="auto" w:sz="4" w:space="0"/>
            </w:tcBorders>
            <w:vAlign w:val="center"/>
          </w:tcPr>
          <w:p w14:paraId="44588AC5">
            <w:pPr>
              <w:spacing w:line="360" w:lineRule="exact"/>
              <w:jc w:val="left"/>
              <w:rPr>
                <w:rFonts w:ascii="宋体" w:hAnsi="宋体" w:cs="仿宋_GB2312"/>
                <w:sz w:val="24"/>
                <w:u w:val="single"/>
              </w:rPr>
            </w:pPr>
          </w:p>
        </w:tc>
        <w:tc>
          <w:tcPr>
            <w:tcW w:w="688" w:type="pct"/>
            <w:tcBorders>
              <w:top w:val="single" w:color="auto" w:sz="4" w:space="0"/>
              <w:left w:val="single" w:color="auto" w:sz="4" w:space="0"/>
              <w:bottom w:val="single" w:color="auto" w:sz="4" w:space="0"/>
              <w:right w:val="single" w:color="auto" w:sz="4" w:space="0"/>
            </w:tcBorders>
            <w:vAlign w:val="center"/>
          </w:tcPr>
          <w:p w14:paraId="75E7C67D">
            <w:pPr>
              <w:spacing w:line="360" w:lineRule="exact"/>
              <w:jc w:val="center"/>
              <w:rPr>
                <w:rFonts w:ascii="宋体" w:hAnsi="宋体" w:cs="仿宋_GB2312"/>
                <w:sz w:val="24"/>
              </w:rPr>
            </w:pPr>
          </w:p>
        </w:tc>
      </w:tr>
      <w:tr w14:paraId="73A1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315" w:type="pct"/>
            <w:tcBorders>
              <w:top w:val="single" w:color="auto" w:sz="4" w:space="0"/>
              <w:left w:val="single" w:color="auto" w:sz="4" w:space="0"/>
              <w:bottom w:val="single" w:color="auto" w:sz="4" w:space="0"/>
              <w:right w:val="single" w:color="auto" w:sz="4" w:space="0"/>
            </w:tcBorders>
            <w:vAlign w:val="center"/>
          </w:tcPr>
          <w:p w14:paraId="1E37F06D">
            <w:pPr>
              <w:spacing w:line="360" w:lineRule="exact"/>
              <w:jc w:val="center"/>
              <w:rPr>
                <w:rFonts w:ascii="宋体" w:hAnsi="宋体" w:cs="仿宋_GB2312"/>
                <w:sz w:val="24"/>
              </w:rPr>
            </w:pPr>
            <w:r>
              <w:rPr>
                <w:rFonts w:hint="eastAsia" w:ascii="宋体" w:hAnsi="宋体" w:cs="仿宋_GB2312"/>
                <w:sz w:val="24"/>
              </w:rPr>
              <w:t>2</w:t>
            </w:r>
          </w:p>
        </w:tc>
        <w:tc>
          <w:tcPr>
            <w:tcW w:w="796" w:type="pct"/>
            <w:tcBorders>
              <w:top w:val="single" w:color="auto" w:sz="4" w:space="0"/>
              <w:left w:val="single" w:color="auto" w:sz="4" w:space="0"/>
              <w:bottom w:val="single" w:color="auto" w:sz="4" w:space="0"/>
              <w:right w:val="single" w:color="auto" w:sz="4" w:space="0"/>
            </w:tcBorders>
            <w:vAlign w:val="center"/>
          </w:tcPr>
          <w:p w14:paraId="356E018D">
            <w:pPr>
              <w:spacing w:line="360" w:lineRule="exact"/>
              <w:jc w:val="center"/>
              <w:rPr>
                <w:rFonts w:ascii="宋体" w:hAnsi="宋体" w:cs="仿宋_GB2312"/>
                <w:sz w:val="24"/>
              </w:rPr>
            </w:pPr>
          </w:p>
        </w:tc>
        <w:tc>
          <w:tcPr>
            <w:tcW w:w="760" w:type="pct"/>
            <w:tcBorders>
              <w:top w:val="single" w:color="auto" w:sz="4" w:space="0"/>
              <w:left w:val="single" w:color="auto" w:sz="4" w:space="0"/>
              <w:bottom w:val="single" w:color="auto" w:sz="4" w:space="0"/>
              <w:right w:val="single" w:color="auto" w:sz="4" w:space="0"/>
            </w:tcBorders>
            <w:vAlign w:val="center"/>
          </w:tcPr>
          <w:p w14:paraId="2854C748">
            <w:pPr>
              <w:spacing w:line="360" w:lineRule="exact"/>
              <w:jc w:val="center"/>
              <w:rPr>
                <w:rFonts w:ascii="宋体" w:hAnsi="宋体" w:cs="仿宋_GB2312"/>
                <w:sz w:val="24"/>
              </w:rPr>
            </w:pPr>
          </w:p>
        </w:tc>
        <w:tc>
          <w:tcPr>
            <w:tcW w:w="880" w:type="pct"/>
            <w:tcBorders>
              <w:top w:val="single" w:color="auto" w:sz="4" w:space="0"/>
              <w:left w:val="single" w:color="auto" w:sz="4" w:space="0"/>
              <w:bottom w:val="single" w:color="auto" w:sz="4" w:space="0"/>
              <w:right w:val="single" w:color="auto" w:sz="4" w:space="0"/>
            </w:tcBorders>
            <w:vAlign w:val="center"/>
          </w:tcPr>
          <w:p w14:paraId="5E47A65A">
            <w:pPr>
              <w:spacing w:line="360" w:lineRule="exact"/>
              <w:jc w:val="center"/>
              <w:rPr>
                <w:rFonts w:ascii="宋体" w:hAnsi="宋体" w:cs="仿宋_GB2312"/>
                <w:sz w:val="24"/>
              </w:rPr>
            </w:pPr>
          </w:p>
        </w:tc>
        <w:tc>
          <w:tcPr>
            <w:tcW w:w="758" w:type="pct"/>
            <w:tcBorders>
              <w:top w:val="single" w:color="auto" w:sz="4" w:space="0"/>
              <w:left w:val="single" w:color="auto" w:sz="4" w:space="0"/>
              <w:bottom w:val="single" w:color="auto" w:sz="4" w:space="0"/>
              <w:right w:val="single" w:color="auto" w:sz="4" w:space="0"/>
            </w:tcBorders>
            <w:vAlign w:val="center"/>
          </w:tcPr>
          <w:p w14:paraId="5B64F004">
            <w:pPr>
              <w:spacing w:line="360" w:lineRule="exact"/>
              <w:jc w:val="center"/>
              <w:rPr>
                <w:rFonts w:ascii="宋体" w:hAnsi="宋体" w:cs="仿宋_GB2312"/>
                <w:sz w:val="24"/>
              </w:rPr>
            </w:pPr>
          </w:p>
        </w:tc>
        <w:tc>
          <w:tcPr>
            <w:tcW w:w="798" w:type="pct"/>
            <w:tcBorders>
              <w:top w:val="single" w:color="auto" w:sz="4" w:space="0"/>
              <w:left w:val="single" w:color="auto" w:sz="4" w:space="0"/>
              <w:bottom w:val="single" w:color="auto" w:sz="4" w:space="0"/>
              <w:right w:val="single" w:color="auto" w:sz="4" w:space="0"/>
            </w:tcBorders>
            <w:vAlign w:val="center"/>
          </w:tcPr>
          <w:p w14:paraId="752B9D3C">
            <w:pPr>
              <w:spacing w:line="360" w:lineRule="exact"/>
              <w:jc w:val="center"/>
              <w:rPr>
                <w:rFonts w:ascii="宋体" w:hAnsi="宋体" w:cs="仿宋_GB2312"/>
                <w:sz w:val="24"/>
              </w:rPr>
            </w:pPr>
          </w:p>
        </w:tc>
        <w:tc>
          <w:tcPr>
            <w:tcW w:w="688" w:type="pct"/>
            <w:tcBorders>
              <w:top w:val="single" w:color="auto" w:sz="4" w:space="0"/>
              <w:left w:val="single" w:color="auto" w:sz="4" w:space="0"/>
              <w:bottom w:val="single" w:color="auto" w:sz="4" w:space="0"/>
              <w:right w:val="single" w:color="auto" w:sz="4" w:space="0"/>
            </w:tcBorders>
            <w:vAlign w:val="center"/>
          </w:tcPr>
          <w:p w14:paraId="55147553">
            <w:pPr>
              <w:spacing w:line="360" w:lineRule="exact"/>
              <w:jc w:val="center"/>
              <w:rPr>
                <w:rFonts w:ascii="宋体" w:hAnsi="宋体" w:cs="仿宋_GB2312"/>
                <w:sz w:val="24"/>
              </w:rPr>
            </w:pPr>
          </w:p>
        </w:tc>
      </w:tr>
      <w:tr w14:paraId="3688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315" w:type="pct"/>
            <w:tcBorders>
              <w:top w:val="single" w:color="auto" w:sz="4" w:space="0"/>
              <w:left w:val="single" w:color="auto" w:sz="4" w:space="0"/>
              <w:bottom w:val="single" w:color="auto" w:sz="4" w:space="0"/>
              <w:right w:val="single" w:color="auto" w:sz="4" w:space="0"/>
            </w:tcBorders>
            <w:vAlign w:val="center"/>
          </w:tcPr>
          <w:p w14:paraId="11995642">
            <w:pPr>
              <w:spacing w:line="360" w:lineRule="exact"/>
              <w:jc w:val="center"/>
              <w:rPr>
                <w:rFonts w:ascii="宋体" w:hAnsi="宋体" w:cs="仿宋_GB2312"/>
                <w:sz w:val="24"/>
              </w:rPr>
            </w:pPr>
            <w:r>
              <w:rPr>
                <w:rFonts w:hint="eastAsia" w:ascii="宋体" w:hAnsi="宋体" w:cs="仿宋_GB2312"/>
                <w:sz w:val="24"/>
              </w:rPr>
              <w:t>3</w:t>
            </w:r>
          </w:p>
        </w:tc>
        <w:tc>
          <w:tcPr>
            <w:tcW w:w="796" w:type="pct"/>
            <w:tcBorders>
              <w:top w:val="single" w:color="auto" w:sz="4" w:space="0"/>
              <w:left w:val="single" w:color="auto" w:sz="4" w:space="0"/>
              <w:bottom w:val="single" w:color="auto" w:sz="4" w:space="0"/>
              <w:right w:val="single" w:color="auto" w:sz="4" w:space="0"/>
            </w:tcBorders>
            <w:vAlign w:val="center"/>
          </w:tcPr>
          <w:p w14:paraId="20E81667">
            <w:pPr>
              <w:spacing w:line="360" w:lineRule="exact"/>
              <w:jc w:val="center"/>
              <w:rPr>
                <w:rFonts w:ascii="宋体" w:hAnsi="宋体" w:cs="仿宋_GB2312"/>
                <w:sz w:val="24"/>
              </w:rPr>
            </w:pPr>
          </w:p>
        </w:tc>
        <w:tc>
          <w:tcPr>
            <w:tcW w:w="760" w:type="pct"/>
            <w:tcBorders>
              <w:top w:val="single" w:color="auto" w:sz="4" w:space="0"/>
              <w:left w:val="single" w:color="auto" w:sz="4" w:space="0"/>
              <w:bottom w:val="single" w:color="auto" w:sz="4" w:space="0"/>
              <w:right w:val="single" w:color="auto" w:sz="4" w:space="0"/>
            </w:tcBorders>
            <w:vAlign w:val="center"/>
          </w:tcPr>
          <w:p w14:paraId="59E03E4C">
            <w:pPr>
              <w:spacing w:line="360" w:lineRule="exact"/>
              <w:jc w:val="center"/>
              <w:rPr>
                <w:rFonts w:ascii="宋体" w:hAnsi="宋体" w:cs="仿宋_GB2312"/>
                <w:sz w:val="24"/>
              </w:rPr>
            </w:pPr>
          </w:p>
        </w:tc>
        <w:tc>
          <w:tcPr>
            <w:tcW w:w="880" w:type="pct"/>
            <w:tcBorders>
              <w:top w:val="single" w:color="auto" w:sz="4" w:space="0"/>
              <w:left w:val="single" w:color="auto" w:sz="4" w:space="0"/>
              <w:bottom w:val="single" w:color="auto" w:sz="4" w:space="0"/>
              <w:right w:val="single" w:color="auto" w:sz="4" w:space="0"/>
            </w:tcBorders>
            <w:vAlign w:val="center"/>
          </w:tcPr>
          <w:p w14:paraId="6659E1D3">
            <w:pPr>
              <w:spacing w:line="360" w:lineRule="exact"/>
              <w:jc w:val="center"/>
              <w:rPr>
                <w:rFonts w:ascii="宋体" w:hAnsi="宋体" w:cs="仿宋_GB2312"/>
                <w:sz w:val="24"/>
              </w:rPr>
            </w:pPr>
          </w:p>
        </w:tc>
        <w:tc>
          <w:tcPr>
            <w:tcW w:w="758" w:type="pct"/>
            <w:tcBorders>
              <w:top w:val="single" w:color="auto" w:sz="4" w:space="0"/>
              <w:left w:val="single" w:color="auto" w:sz="4" w:space="0"/>
              <w:bottom w:val="single" w:color="auto" w:sz="4" w:space="0"/>
              <w:right w:val="single" w:color="auto" w:sz="4" w:space="0"/>
            </w:tcBorders>
            <w:vAlign w:val="center"/>
          </w:tcPr>
          <w:p w14:paraId="76E1B2E3">
            <w:pPr>
              <w:spacing w:line="360" w:lineRule="exact"/>
              <w:jc w:val="center"/>
              <w:rPr>
                <w:rFonts w:ascii="宋体" w:hAnsi="宋体" w:cs="仿宋_GB2312"/>
                <w:sz w:val="24"/>
              </w:rPr>
            </w:pPr>
          </w:p>
        </w:tc>
        <w:tc>
          <w:tcPr>
            <w:tcW w:w="798" w:type="pct"/>
            <w:tcBorders>
              <w:top w:val="single" w:color="auto" w:sz="4" w:space="0"/>
              <w:left w:val="single" w:color="auto" w:sz="4" w:space="0"/>
              <w:bottom w:val="single" w:color="auto" w:sz="4" w:space="0"/>
              <w:right w:val="single" w:color="auto" w:sz="4" w:space="0"/>
            </w:tcBorders>
            <w:vAlign w:val="center"/>
          </w:tcPr>
          <w:p w14:paraId="12BF8D69">
            <w:pPr>
              <w:spacing w:line="360" w:lineRule="exact"/>
              <w:jc w:val="center"/>
              <w:rPr>
                <w:rFonts w:ascii="宋体" w:hAnsi="宋体" w:cs="仿宋_GB2312"/>
                <w:sz w:val="24"/>
              </w:rPr>
            </w:pPr>
          </w:p>
        </w:tc>
        <w:tc>
          <w:tcPr>
            <w:tcW w:w="688" w:type="pct"/>
            <w:tcBorders>
              <w:top w:val="single" w:color="auto" w:sz="4" w:space="0"/>
              <w:left w:val="single" w:color="auto" w:sz="4" w:space="0"/>
              <w:bottom w:val="single" w:color="auto" w:sz="4" w:space="0"/>
              <w:right w:val="single" w:color="auto" w:sz="4" w:space="0"/>
            </w:tcBorders>
            <w:vAlign w:val="center"/>
          </w:tcPr>
          <w:p w14:paraId="7B6498E5">
            <w:pPr>
              <w:spacing w:line="360" w:lineRule="exact"/>
              <w:jc w:val="center"/>
              <w:rPr>
                <w:rFonts w:ascii="宋体" w:hAnsi="宋体" w:cs="仿宋_GB2312"/>
                <w:sz w:val="24"/>
              </w:rPr>
            </w:pPr>
          </w:p>
        </w:tc>
      </w:tr>
      <w:tr w14:paraId="168A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315" w:type="pct"/>
            <w:tcBorders>
              <w:top w:val="single" w:color="auto" w:sz="4" w:space="0"/>
              <w:left w:val="single" w:color="auto" w:sz="4" w:space="0"/>
              <w:bottom w:val="single" w:color="auto" w:sz="4" w:space="0"/>
              <w:right w:val="single" w:color="auto" w:sz="4" w:space="0"/>
            </w:tcBorders>
            <w:vAlign w:val="center"/>
          </w:tcPr>
          <w:p w14:paraId="50F3646A">
            <w:pPr>
              <w:spacing w:line="360" w:lineRule="exact"/>
              <w:jc w:val="center"/>
              <w:rPr>
                <w:rFonts w:ascii="宋体" w:hAnsi="宋体" w:cs="仿宋_GB2312"/>
                <w:sz w:val="24"/>
              </w:rPr>
            </w:pPr>
            <w:r>
              <w:rPr>
                <w:rFonts w:hint="eastAsia" w:ascii="宋体" w:hAnsi="宋体" w:cs="仿宋_GB2312"/>
                <w:sz w:val="24"/>
              </w:rPr>
              <w:t>4</w:t>
            </w:r>
          </w:p>
        </w:tc>
        <w:tc>
          <w:tcPr>
            <w:tcW w:w="796" w:type="pct"/>
            <w:tcBorders>
              <w:top w:val="single" w:color="auto" w:sz="4" w:space="0"/>
              <w:left w:val="single" w:color="auto" w:sz="4" w:space="0"/>
              <w:bottom w:val="single" w:color="auto" w:sz="4" w:space="0"/>
              <w:right w:val="single" w:color="auto" w:sz="4" w:space="0"/>
            </w:tcBorders>
            <w:vAlign w:val="center"/>
          </w:tcPr>
          <w:p w14:paraId="1C97C7E7">
            <w:pPr>
              <w:spacing w:line="360" w:lineRule="exact"/>
              <w:jc w:val="center"/>
              <w:rPr>
                <w:rFonts w:ascii="宋体" w:hAnsi="宋体" w:cs="仿宋_GB2312"/>
                <w:sz w:val="24"/>
              </w:rPr>
            </w:pPr>
          </w:p>
        </w:tc>
        <w:tc>
          <w:tcPr>
            <w:tcW w:w="760" w:type="pct"/>
            <w:tcBorders>
              <w:top w:val="single" w:color="auto" w:sz="4" w:space="0"/>
              <w:left w:val="single" w:color="auto" w:sz="4" w:space="0"/>
              <w:bottom w:val="single" w:color="auto" w:sz="4" w:space="0"/>
              <w:right w:val="single" w:color="auto" w:sz="4" w:space="0"/>
            </w:tcBorders>
            <w:vAlign w:val="center"/>
          </w:tcPr>
          <w:p w14:paraId="70F80135">
            <w:pPr>
              <w:spacing w:line="360" w:lineRule="exact"/>
              <w:jc w:val="center"/>
              <w:rPr>
                <w:rFonts w:ascii="宋体" w:hAnsi="宋体" w:cs="仿宋_GB2312"/>
                <w:sz w:val="24"/>
              </w:rPr>
            </w:pPr>
          </w:p>
        </w:tc>
        <w:tc>
          <w:tcPr>
            <w:tcW w:w="880" w:type="pct"/>
            <w:tcBorders>
              <w:top w:val="single" w:color="auto" w:sz="4" w:space="0"/>
              <w:left w:val="single" w:color="auto" w:sz="4" w:space="0"/>
              <w:bottom w:val="single" w:color="auto" w:sz="4" w:space="0"/>
              <w:right w:val="single" w:color="auto" w:sz="4" w:space="0"/>
            </w:tcBorders>
            <w:vAlign w:val="center"/>
          </w:tcPr>
          <w:p w14:paraId="17BC8ACB">
            <w:pPr>
              <w:spacing w:line="360" w:lineRule="exact"/>
              <w:jc w:val="center"/>
              <w:rPr>
                <w:rFonts w:ascii="宋体" w:hAnsi="宋体" w:cs="仿宋_GB2312"/>
                <w:sz w:val="24"/>
              </w:rPr>
            </w:pPr>
          </w:p>
        </w:tc>
        <w:tc>
          <w:tcPr>
            <w:tcW w:w="758" w:type="pct"/>
            <w:tcBorders>
              <w:top w:val="single" w:color="auto" w:sz="4" w:space="0"/>
              <w:left w:val="single" w:color="auto" w:sz="4" w:space="0"/>
              <w:bottom w:val="single" w:color="auto" w:sz="4" w:space="0"/>
              <w:right w:val="single" w:color="auto" w:sz="4" w:space="0"/>
            </w:tcBorders>
            <w:vAlign w:val="center"/>
          </w:tcPr>
          <w:p w14:paraId="23454018">
            <w:pPr>
              <w:spacing w:line="360" w:lineRule="exact"/>
              <w:jc w:val="center"/>
              <w:rPr>
                <w:rFonts w:ascii="宋体" w:hAnsi="宋体" w:cs="仿宋_GB2312"/>
                <w:sz w:val="24"/>
              </w:rPr>
            </w:pPr>
          </w:p>
        </w:tc>
        <w:tc>
          <w:tcPr>
            <w:tcW w:w="798" w:type="pct"/>
            <w:tcBorders>
              <w:top w:val="single" w:color="auto" w:sz="4" w:space="0"/>
              <w:left w:val="single" w:color="auto" w:sz="4" w:space="0"/>
              <w:bottom w:val="single" w:color="auto" w:sz="4" w:space="0"/>
              <w:right w:val="single" w:color="auto" w:sz="4" w:space="0"/>
            </w:tcBorders>
            <w:vAlign w:val="center"/>
          </w:tcPr>
          <w:p w14:paraId="50D98FA6">
            <w:pPr>
              <w:spacing w:line="360" w:lineRule="exact"/>
              <w:jc w:val="center"/>
              <w:rPr>
                <w:rFonts w:ascii="宋体" w:hAnsi="宋体" w:cs="仿宋_GB2312"/>
                <w:sz w:val="24"/>
              </w:rPr>
            </w:pPr>
          </w:p>
        </w:tc>
        <w:tc>
          <w:tcPr>
            <w:tcW w:w="688" w:type="pct"/>
            <w:tcBorders>
              <w:top w:val="single" w:color="auto" w:sz="4" w:space="0"/>
              <w:left w:val="single" w:color="auto" w:sz="4" w:space="0"/>
              <w:bottom w:val="single" w:color="auto" w:sz="4" w:space="0"/>
              <w:right w:val="single" w:color="auto" w:sz="4" w:space="0"/>
            </w:tcBorders>
            <w:vAlign w:val="center"/>
          </w:tcPr>
          <w:p w14:paraId="0E545D9F">
            <w:pPr>
              <w:spacing w:line="360" w:lineRule="exact"/>
              <w:jc w:val="center"/>
              <w:rPr>
                <w:rFonts w:ascii="宋体" w:hAnsi="宋体" w:cs="仿宋_GB2312"/>
                <w:sz w:val="24"/>
              </w:rPr>
            </w:pPr>
          </w:p>
        </w:tc>
      </w:tr>
      <w:tr w14:paraId="0102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315" w:type="pct"/>
            <w:tcBorders>
              <w:top w:val="single" w:color="auto" w:sz="4" w:space="0"/>
              <w:left w:val="single" w:color="auto" w:sz="4" w:space="0"/>
              <w:bottom w:val="single" w:color="auto" w:sz="4" w:space="0"/>
              <w:right w:val="single" w:color="auto" w:sz="4" w:space="0"/>
            </w:tcBorders>
            <w:vAlign w:val="center"/>
          </w:tcPr>
          <w:p w14:paraId="272F9F0E">
            <w:pPr>
              <w:spacing w:line="360" w:lineRule="exact"/>
              <w:jc w:val="center"/>
              <w:rPr>
                <w:rFonts w:ascii="宋体" w:hAnsi="宋体" w:cs="仿宋_GB2312"/>
                <w:sz w:val="24"/>
              </w:rPr>
            </w:pPr>
            <w:r>
              <w:rPr>
                <w:rFonts w:hint="eastAsia" w:ascii="宋体" w:hAnsi="宋体" w:cs="仿宋_GB2312"/>
                <w:sz w:val="24"/>
              </w:rPr>
              <w:t>5</w:t>
            </w:r>
          </w:p>
        </w:tc>
        <w:tc>
          <w:tcPr>
            <w:tcW w:w="796" w:type="pct"/>
            <w:tcBorders>
              <w:top w:val="single" w:color="auto" w:sz="4" w:space="0"/>
              <w:left w:val="single" w:color="auto" w:sz="4" w:space="0"/>
              <w:bottom w:val="single" w:color="auto" w:sz="4" w:space="0"/>
              <w:right w:val="single" w:color="auto" w:sz="4" w:space="0"/>
            </w:tcBorders>
            <w:vAlign w:val="center"/>
          </w:tcPr>
          <w:p w14:paraId="31787D7D">
            <w:pPr>
              <w:spacing w:line="360" w:lineRule="exact"/>
              <w:jc w:val="center"/>
              <w:rPr>
                <w:rFonts w:ascii="宋体" w:hAnsi="宋体" w:cs="仿宋_GB2312"/>
                <w:sz w:val="24"/>
              </w:rPr>
            </w:pPr>
          </w:p>
        </w:tc>
        <w:tc>
          <w:tcPr>
            <w:tcW w:w="760" w:type="pct"/>
            <w:tcBorders>
              <w:top w:val="single" w:color="auto" w:sz="4" w:space="0"/>
              <w:left w:val="single" w:color="auto" w:sz="4" w:space="0"/>
              <w:bottom w:val="single" w:color="auto" w:sz="4" w:space="0"/>
              <w:right w:val="single" w:color="auto" w:sz="4" w:space="0"/>
            </w:tcBorders>
            <w:vAlign w:val="center"/>
          </w:tcPr>
          <w:p w14:paraId="55F472E1">
            <w:pPr>
              <w:spacing w:line="360" w:lineRule="exact"/>
              <w:jc w:val="center"/>
              <w:rPr>
                <w:rFonts w:ascii="宋体" w:hAnsi="宋体" w:cs="仿宋_GB2312"/>
                <w:sz w:val="24"/>
              </w:rPr>
            </w:pPr>
          </w:p>
        </w:tc>
        <w:tc>
          <w:tcPr>
            <w:tcW w:w="880" w:type="pct"/>
            <w:tcBorders>
              <w:top w:val="single" w:color="auto" w:sz="4" w:space="0"/>
              <w:left w:val="single" w:color="auto" w:sz="4" w:space="0"/>
              <w:bottom w:val="single" w:color="auto" w:sz="4" w:space="0"/>
              <w:right w:val="single" w:color="auto" w:sz="4" w:space="0"/>
            </w:tcBorders>
            <w:vAlign w:val="center"/>
          </w:tcPr>
          <w:p w14:paraId="7BC8385F">
            <w:pPr>
              <w:spacing w:line="360" w:lineRule="exact"/>
              <w:jc w:val="center"/>
              <w:rPr>
                <w:rFonts w:ascii="宋体" w:hAnsi="宋体" w:cs="仿宋_GB2312"/>
                <w:sz w:val="24"/>
              </w:rPr>
            </w:pPr>
          </w:p>
        </w:tc>
        <w:tc>
          <w:tcPr>
            <w:tcW w:w="758" w:type="pct"/>
            <w:tcBorders>
              <w:top w:val="single" w:color="auto" w:sz="4" w:space="0"/>
              <w:left w:val="single" w:color="auto" w:sz="4" w:space="0"/>
              <w:bottom w:val="single" w:color="auto" w:sz="4" w:space="0"/>
              <w:right w:val="single" w:color="auto" w:sz="4" w:space="0"/>
            </w:tcBorders>
            <w:vAlign w:val="center"/>
          </w:tcPr>
          <w:p w14:paraId="01BCEDEF">
            <w:pPr>
              <w:spacing w:line="360" w:lineRule="exact"/>
              <w:jc w:val="center"/>
              <w:rPr>
                <w:rFonts w:ascii="宋体" w:hAnsi="宋体" w:cs="仿宋_GB2312"/>
                <w:sz w:val="24"/>
              </w:rPr>
            </w:pPr>
          </w:p>
        </w:tc>
        <w:tc>
          <w:tcPr>
            <w:tcW w:w="798" w:type="pct"/>
            <w:tcBorders>
              <w:top w:val="single" w:color="auto" w:sz="4" w:space="0"/>
              <w:left w:val="single" w:color="auto" w:sz="4" w:space="0"/>
              <w:bottom w:val="single" w:color="auto" w:sz="4" w:space="0"/>
              <w:right w:val="single" w:color="auto" w:sz="4" w:space="0"/>
            </w:tcBorders>
            <w:vAlign w:val="center"/>
          </w:tcPr>
          <w:p w14:paraId="337CEDAB">
            <w:pPr>
              <w:spacing w:line="360" w:lineRule="exact"/>
              <w:jc w:val="center"/>
              <w:rPr>
                <w:rFonts w:ascii="宋体" w:hAnsi="宋体" w:cs="仿宋_GB2312"/>
                <w:sz w:val="24"/>
              </w:rPr>
            </w:pPr>
          </w:p>
        </w:tc>
        <w:tc>
          <w:tcPr>
            <w:tcW w:w="688" w:type="pct"/>
            <w:tcBorders>
              <w:top w:val="single" w:color="auto" w:sz="4" w:space="0"/>
              <w:left w:val="single" w:color="auto" w:sz="4" w:space="0"/>
              <w:bottom w:val="single" w:color="auto" w:sz="4" w:space="0"/>
              <w:right w:val="single" w:color="auto" w:sz="4" w:space="0"/>
            </w:tcBorders>
            <w:vAlign w:val="center"/>
          </w:tcPr>
          <w:p w14:paraId="0AC61ED7">
            <w:pPr>
              <w:spacing w:line="360" w:lineRule="exact"/>
              <w:jc w:val="center"/>
              <w:rPr>
                <w:rFonts w:ascii="宋体" w:hAnsi="宋体" w:cs="仿宋_GB2312"/>
                <w:sz w:val="24"/>
              </w:rPr>
            </w:pPr>
          </w:p>
        </w:tc>
      </w:tr>
      <w:tr w14:paraId="1FA9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2754" w:type="pct"/>
            <w:gridSpan w:val="4"/>
            <w:tcBorders>
              <w:top w:val="single" w:color="auto" w:sz="4" w:space="0"/>
              <w:left w:val="single" w:color="auto" w:sz="4" w:space="0"/>
              <w:bottom w:val="single" w:color="auto" w:sz="4" w:space="0"/>
              <w:right w:val="single" w:color="auto" w:sz="4" w:space="0"/>
            </w:tcBorders>
            <w:vAlign w:val="center"/>
          </w:tcPr>
          <w:p w14:paraId="2E000A47">
            <w:pPr>
              <w:spacing w:line="360" w:lineRule="exact"/>
              <w:jc w:val="center"/>
              <w:rPr>
                <w:rFonts w:ascii="宋体" w:hAnsi="宋体" w:cs="仿宋_GB2312"/>
                <w:sz w:val="24"/>
              </w:rPr>
            </w:pPr>
            <w:r>
              <w:rPr>
                <w:rFonts w:hint="eastAsia" w:ascii="宋体" w:hAnsi="宋体" w:cs="仿宋_GB2312"/>
                <w:sz w:val="24"/>
              </w:rPr>
              <w:t>合计</w:t>
            </w:r>
          </w:p>
        </w:tc>
        <w:tc>
          <w:tcPr>
            <w:tcW w:w="758" w:type="pct"/>
            <w:tcBorders>
              <w:top w:val="single" w:color="auto" w:sz="4" w:space="0"/>
              <w:left w:val="single" w:color="auto" w:sz="4" w:space="0"/>
              <w:bottom w:val="single" w:color="auto" w:sz="4" w:space="0"/>
              <w:right w:val="single" w:color="auto" w:sz="4" w:space="0"/>
            </w:tcBorders>
            <w:vAlign w:val="center"/>
          </w:tcPr>
          <w:p w14:paraId="0F7AFA37">
            <w:pPr>
              <w:spacing w:line="360" w:lineRule="exact"/>
              <w:jc w:val="center"/>
              <w:rPr>
                <w:rFonts w:ascii="宋体" w:hAnsi="宋体" w:cs="仿宋_GB2312"/>
                <w:sz w:val="24"/>
              </w:rPr>
            </w:pPr>
          </w:p>
        </w:tc>
        <w:tc>
          <w:tcPr>
            <w:tcW w:w="798" w:type="pct"/>
            <w:tcBorders>
              <w:top w:val="single" w:color="auto" w:sz="4" w:space="0"/>
              <w:left w:val="single" w:color="auto" w:sz="4" w:space="0"/>
              <w:bottom w:val="single" w:color="auto" w:sz="4" w:space="0"/>
              <w:right w:val="single" w:color="auto" w:sz="4" w:space="0"/>
            </w:tcBorders>
            <w:vAlign w:val="center"/>
          </w:tcPr>
          <w:p w14:paraId="363102B0">
            <w:pPr>
              <w:spacing w:line="360" w:lineRule="exact"/>
              <w:jc w:val="center"/>
              <w:rPr>
                <w:rFonts w:ascii="宋体" w:hAnsi="宋体" w:cs="仿宋_GB2312"/>
                <w:sz w:val="24"/>
              </w:rPr>
            </w:pPr>
          </w:p>
        </w:tc>
        <w:tc>
          <w:tcPr>
            <w:tcW w:w="688" w:type="pct"/>
            <w:tcBorders>
              <w:top w:val="single" w:color="auto" w:sz="4" w:space="0"/>
              <w:left w:val="single" w:color="auto" w:sz="4" w:space="0"/>
              <w:bottom w:val="single" w:color="auto" w:sz="4" w:space="0"/>
              <w:right w:val="single" w:color="auto" w:sz="4" w:space="0"/>
            </w:tcBorders>
            <w:vAlign w:val="center"/>
          </w:tcPr>
          <w:p w14:paraId="53DE91EC">
            <w:pPr>
              <w:spacing w:line="360" w:lineRule="exact"/>
              <w:jc w:val="center"/>
              <w:rPr>
                <w:rFonts w:ascii="宋体" w:hAnsi="宋体" w:cs="仿宋_GB2312"/>
                <w:sz w:val="24"/>
              </w:rPr>
            </w:pPr>
          </w:p>
        </w:tc>
      </w:tr>
      <w:tr w14:paraId="098F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48F09FC1">
            <w:pPr>
              <w:spacing w:line="360" w:lineRule="exact"/>
              <w:jc w:val="left"/>
              <w:rPr>
                <w:rFonts w:asciiTheme="minorEastAsia" w:hAnsiTheme="minorEastAsia" w:eastAsiaTheme="minorEastAsia"/>
                <w:sz w:val="24"/>
              </w:rPr>
            </w:pPr>
            <w:r>
              <w:rPr>
                <w:rFonts w:hint="eastAsia" w:ascii="宋体" w:hAnsi="宋体" w:cs="宋体"/>
                <w:szCs w:val="22"/>
              </w:rPr>
              <w:t>报价合计（包含税费等所有费用）：（大写）人民币：</w:t>
            </w:r>
            <w:r>
              <w:rPr>
                <w:rFonts w:hint="eastAsia" w:ascii="宋体" w:hAnsi="宋体" w:cs="宋体"/>
                <w:szCs w:val="22"/>
                <w:u w:val="single"/>
              </w:rPr>
              <w:t xml:space="preserve">                     </w:t>
            </w:r>
            <w:r>
              <w:rPr>
                <w:rFonts w:hint="eastAsia" w:ascii="宋体" w:hAnsi="宋体" w:cs="宋体"/>
                <w:szCs w:val="22"/>
              </w:rPr>
              <w:t>（￥：</w:t>
            </w:r>
            <w:r>
              <w:rPr>
                <w:rFonts w:hint="eastAsia" w:ascii="宋体" w:hAnsi="宋体" w:cs="宋体"/>
                <w:szCs w:val="22"/>
                <w:u w:val="single"/>
              </w:rPr>
              <w:t xml:space="preserve">                </w:t>
            </w:r>
            <w:r>
              <w:rPr>
                <w:rFonts w:hint="eastAsia" w:ascii="宋体" w:hAnsi="宋体" w:cs="宋体"/>
                <w:szCs w:val="22"/>
              </w:rPr>
              <w:t>元）</w:t>
            </w:r>
          </w:p>
        </w:tc>
      </w:tr>
      <w:tr w14:paraId="6461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76D5B72B">
            <w:pPr>
              <w:spacing w:line="360" w:lineRule="exact"/>
              <w:jc w:val="left"/>
              <w:rPr>
                <w:rFonts w:asciiTheme="minorEastAsia" w:hAnsiTheme="minorEastAsia"/>
                <w:sz w:val="24"/>
              </w:rPr>
            </w:pPr>
            <w:r>
              <w:rPr>
                <w:rFonts w:hint="eastAsia" w:ascii="宋体" w:hAnsi="宋体" w:cs="宋体"/>
                <w:szCs w:val="22"/>
                <w:highlight w:val="none"/>
              </w:rPr>
              <w:t>交付时间：自签订合同之日起15天内安装调试完毕并交付使用。</w:t>
            </w:r>
          </w:p>
        </w:tc>
      </w:tr>
    </w:tbl>
    <w:p w14:paraId="603F85CE">
      <w:pPr>
        <w:snapToGrid w:val="0"/>
        <w:spacing w:before="50" w:after="50" w:line="360" w:lineRule="auto"/>
        <w:jc w:val="left"/>
        <w:rPr>
          <w:rFonts w:ascii="宋体" w:hAnsi="宋体" w:cs="仿宋_GB2312"/>
          <w:szCs w:val="21"/>
        </w:rPr>
      </w:pPr>
      <w:r>
        <w:rPr>
          <w:rFonts w:hint="eastAsia" w:ascii="宋体" w:hAnsi="宋体" w:cs="仿宋_GB2312"/>
          <w:szCs w:val="21"/>
        </w:rPr>
        <w:t xml:space="preserve">注: </w:t>
      </w:r>
    </w:p>
    <w:p w14:paraId="340388EE">
      <w:pPr>
        <w:snapToGrid w:val="0"/>
        <w:spacing w:before="50" w:after="50" w:line="360" w:lineRule="auto"/>
        <w:ind w:firstLine="420" w:firstLineChars="200"/>
        <w:jc w:val="left"/>
        <w:rPr>
          <w:rFonts w:ascii="宋体" w:hAnsi="宋体" w:cs="仿宋_GB2312"/>
          <w:szCs w:val="21"/>
        </w:rPr>
      </w:pPr>
      <w:r>
        <w:rPr>
          <w:rFonts w:hint="eastAsia" w:ascii="宋体" w:hAnsi="宋体" w:cs="仿宋_GB2312"/>
          <w:szCs w:val="21"/>
        </w:rPr>
        <w:t>1.供应商的报价表必须加盖供应商公章并由法定代表人或者委托代理人签字，</w:t>
      </w:r>
      <w:r>
        <w:rPr>
          <w:rFonts w:hint="eastAsia" w:ascii="宋体" w:hAnsi="宋体" w:cs="仿宋_GB2312"/>
          <w:b/>
          <w:szCs w:val="21"/>
        </w:rPr>
        <w:t>否则其响应文件按无效响应处理</w:t>
      </w:r>
      <w:r>
        <w:rPr>
          <w:rFonts w:hint="eastAsia" w:ascii="宋体" w:hAnsi="宋体" w:cs="仿宋_GB2312"/>
          <w:szCs w:val="21"/>
        </w:rPr>
        <w:t>。</w:t>
      </w:r>
    </w:p>
    <w:p w14:paraId="7722D100">
      <w:pPr>
        <w:snapToGrid w:val="0"/>
        <w:spacing w:before="50" w:after="50" w:line="360" w:lineRule="auto"/>
        <w:ind w:firstLine="420" w:firstLineChars="200"/>
        <w:jc w:val="left"/>
        <w:rPr>
          <w:rFonts w:ascii="宋体" w:hAnsi="宋体" w:cs="仿宋_GB2312"/>
          <w:b/>
          <w:szCs w:val="21"/>
        </w:rPr>
      </w:pPr>
      <w:r>
        <w:rPr>
          <w:rFonts w:hint="eastAsia" w:ascii="宋体" w:hAnsi="宋体" w:cs="仿宋_GB2312"/>
          <w:bCs/>
          <w:szCs w:val="21"/>
        </w:rPr>
        <w:t>2.</w:t>
      </w:r>
      <w:r>
        <w:rPr>
          <w:rFonts w:hint="eastAsia" w:ascii="宋体" w:hAnsi="宋体" w:cs="仿宋_GB2312"/>
          <w:szCs w:val="21"/>
        </w:rPr>
        <w:t>报价一经涂改，应在涂改处加盖供应商公章或者由法定代表人或者委托代理人签字或者盖章</w:t>
      </w:r>
      <w:r>
        <w:rPr>
          <w:rFonts w:hint="eastAsia" w:ascii="宋体" w:hAnsi="宋体" w:cs="仿宋_GB2312"/>
          <w:b/>
          <w:szCs w:val="21"/>
        </w:rPr>
        <w:t>，否则其响应文件按无效响应处理。</w:t>
      </w:r>
    </w:p>
    <w:p w14:paraId="5E5D75A5">
      <w:pPr>
        <w:snapToGrid w:val="0"/>
        <w:spacing w:before="50" w:after="50" w:line="360" w:lineRule="auto"/>
        <w:ind w:firstLine="420" w:firstLineChars="200"/>
        <w:jc w:val="left"/>
        <w:rPr>
          <w:rFonts w:ascii="宋体" w:hAnsi="宋体" w:cs="仿宋_GB2312"/>
          <w:szCs w:val="21"/>
        </w:rPr>
      </w:pPr>
      <w:r>
        <w:rPr>
          <w:rFonts w:ascii="宋体" w:hAnsi="宋体" w:cs="仿宋_GB2312"/>
          <w:szCs w:val="21"/>
        </w:rPr>
        <w:t>3</w:t>
      </w:r>
      <w:r>
        <w:rPr>
          <w:rFonts w:hint="eastAsia" w:ascii="宋体" w:hAnsi="宋体" w:cs="仿宋_GB2312"/>
          <w:szCs w:val="21"/>
        </w:rPr>
        <w:t>.如为联合体竞标，“供应商名称”处必须列明联合体各方名称，标注联合体牵头人名称，</w:t>
      </w:r>
      <w:r>
        <w:rPr>
          <w:rFonts w:hint="eastAsia" w:ascii="宋体" w:hAnsi="宋体" w:cs="仿宋_GB2312"/>
          <w:b/>
          <w:szCs w:val="21"/>
        </w:rPr>
        <w:t>否则其响应文件按无效响应处理。</w:t>
      </w:r>
    </w:p>
    <w:p w14:paraId="3E9685B0">
      <w:pPr>
        <w:snapToGrid w:val="0"/>
        <w:spacing w:before="50" w:after="50" w:line="360" w:lineRule="auto"/>
        <w:ind w:firstLine="420" w:firstLineChars="200"/>
        <w:jc w:val="left"/>
        <w:rPr>
          <w:rFonts w:ascii="宋体" w:hAnsi="宋体" w:cs="仿宋_GB2312"/>
          <w:szCs w:val="21"/>
        </w:rPr>
      </w:pPr>
      <w:r>
        <w:rPr>
          <w:rFonts w:ascii="宋体" w:hAnsi="宋体" w:cs="仿宋_GB2312"/>
          <w:szCs w:val="21"/>
        </w:rPr>
        <w:t>4</w:t>
      </w:r>
      <w:r>
        <w:rPr>
          <w:rFonts w:hint="eastAsia" w:ascii="宋体" w:hAnsi="宋体" w:cs="仿宋_GB2312"/>
          <w:szCs w:val="21"/>
        </w:rPr>
        <w:t>.如为联合体竞标，盖章处须加盖联合体各方公章，</w:t>
      </w:r>
      <w:r>
        <w:rPr>
          <w:rFonts w:hint="eastAsia" w:ascii="宋体" w:hAnsi="宋体" w:cs="仿宋_GB2312"/>
          <w:b/>
          <w:szCs w:val="21"/>
        </w:rPr>
        <w:t>否则其响应文件按无效响应处理。</w:t>
      </w:r>
    </w:p>
    <w:p w14:paraId="50C584EC">
      <w:pPr>
        <w:snapToGrid w:val="0"/>
        <w:spacing w:before="50" w:after="50" w:line="360" w:lineRule="auto"/>
        <w:ind w:firstLine="420" w:firstLineChars="200"/>
        <w:rPr>
          <w:rFonts w:ascii="宋体" w:hAnsi="宋体" w:cs="仿宋_GB2312"/>
          <w:b/>
          <w:spacing w:val="-6"/>
          <w:szCs w:val="21"/>
        </w:rPr>
      </w:pPr>
      <w:r>
        <w:rPr>
          <w:rFonts w:ascii="宋体" w:hAnsi="宋体" w:cs="仿宋_GB2312"/>
          <w:szCs w:val="21"/>
        </w:rPr>
        <w:t>5</w:t>
      </w:r>
      <w:r>
        <w:rPr>
          <w:rFonts w:hint="eastAsia" w:ascii="宋体" w:hAnsi="宋体" w:cs="仿宋_GB2312"/>
          <w:szCs w:val="21"/>
        </w:rPr>
        <w:t>.</w:t>
      </w:r>
      <w:r>
        <w:rPr>
          <w:rFonts w:hint="eastAsia" w:ascii="宋体" w:hAnsi="宋体" w:cs="仿宋_GB2312"/>
          <w:spacing w:val="-6"/>
          <w:szCs w:val="21"/>
        </w:rPr>
        <w:t>如有多分标，分别列明各分标的报价表，</w:t>
      </w:r>
      <w:r>
        <w:rPr>
          <w:rFonts w:hint="eastAsia" w:ascii="宋体" w:hAnsi="宋体" w:cs="仿宋_GB2312"/>
          <w:b/>
          <w:spacing w:val="-6"/>
          <w:szCs w:val="21"/>
        </w:rPr>
        <w:t>否则其响应文件按无效响应处理。</w:t>
      </w:r>
    </w:p>
    <w:p w14:paraId="5E44A1E2">
      <w:pPr>
        <w:snapToGrid w:val="0"/>
        <w:spacing w:before="50" w:after="50" w:line="360" w:lineRule="auto"/>
        <w:ind w:firstLine="398" w:firstLineChars="200"/>
        <w:rPr>
          <w:rFonts w:ascii="宋体" w:hAnsi="宋体" w:cs="仿宋_GB2312"/>
          <w:b/>
          <w:spacing w:val="-6"/>
          <w:szCs w:val="21"/>
        </w:rPr>
      </w:pPr>
    </w:p>
    <w:p w14:paraId="7368C868">
      <w:pPr>
        <w:snapToGrid w:val="0"/>
        <w:spacing w:before="50" w:after="50" w:line="360" w:lineRule="auto"/>
        <w:ind w:right="-817" w:rightChars="-389" w:firstLine="960" w:firstLineChars="400"/>
        <w:rPr>
          <w:rFonts w:ascii="宋体" w:hAnsi="宋体" w:cs="仿宋_GB2312"/>
          <w:sz w:val="24"/>
        </w:rPr>
      </w:pPr>
      <w:r>
        <w:rPr>
          <w:rFonts w:hint="eastAsia" w:ascii="宋体" w:hAnsi="宋体" w:cs="仿宋_GB2312"/>
          <w:sz w:val="24"/>
        </w:rPr>
        <w:t xml:space="preserve">法定代表人或者委托代理人（签字）：                    </w:t>
      </w:r>
    </w:p>
    <w:p w14:paraId="69AD4643">
      <w:pPr>
        <w:snapToGrid w:val="0"/>
        <w:spacing w:before="50" w:after="50" w:line="360" w:lineRule="auto"/>
        <w:ind w:right="-817" w:rightChars="-389" w:firstLine="2640" w:firstLineChars="1100"/>
        <w:rPr>
          <w:rFonts w:ascii="宋体" w:hAnsi="宋体" w:cs="仿宋_GB2312"/>
          <w:sz w:val="24"/>
        </w:rPr>
      </w:pPr>
      <w:r>
        <w:rPr>
          <w:rFonts w:hint="eastAsia" w:ascii="宋体" w:hAnsi="宋体" w:cs="仿宋_GB2312"/>
          <w:sz w:val="24"/>
        </w:rPr>
        <w:t xml:space="preserve">供应商（盖公章）：      </w:t>
      </w:r>
    </w:p>
    <w:p w14:paraId="47D3C2E4">
      <w:pPr>
        <w:snapToGrid w:val="0"/>
        <w:spacing w:before="50" w:after="50" w:line="360" w:lineRule="auto"/>
        <w:ind w:right="-817" w:rightChars="-389" w:firstLine="4080" w:firstLineChars="1700"/>
        <w:rPr>
          <w:rFonts w:ascii="宋体" w:hAnsi="宋体"/>
          <w:szCs w:val="21"/>
        </w:rPr>
      </w:pPr>
      <w:r>
        <w:rPr>
          <w:rFonts w:hint="eastAsia" w:ascii="宋体" w:hAnsi="宋体" w:cs="仿宋_GB2312"/>
          <w:sz w:val="24"/>
        </w:rPr>
        <w:t>日期：   年   月   日</w:t>
      </w:r>
    </w:p>
    <w:p w14:paraId="64D2E0C8">
      <w:pPr>
        <w:pStyle w:val="21"/>
        <w:rPr>
          <w:rFonts w:hAnsi="宋体" w:cs="宋体"/>
        </w:rPr>
      </w:pPr>
      <w:r>
        <w:rPr>
          <w:rFonts w:hAnsi="宋体"/>
          <w:sz w:val="28"/>
          <w:szCs w:val="28"/>
        </w:rPr>
        <w:br w:type="page"/>
      </w:r>
    </w:p>
    <w:p w14:paraId="1A0DF1FA">
      <w:pPr>
        <w:spacing w:line="360" w:lineRule="auto"/>
        <w:jc w:val="center"/>
        <w:rPr>
          <w:rFonts w:ascii="宋体" w:hAnsi="宋体" w:cs="宋体"/>
          <w:b/>
          <w:bCs/>
          <w:sz w:val="32"/>
          <w:szCs w:val="32"/>
        </w:rPr>
      </w:pPr>
      <w:r>
        <w:rPr>
          <w:rFonts w:hint="eastAsia" w:ascii="宋体" w:hAnsi="宋体" w:cs="宋体"/>
          <w:b/>
          <w:bCs/>
          <w:sz w:val="32"/>
          <w:szCs w:val="32"/>
        </w:rPr>
        <w:t>法定代表人证明书</w:t>
      </w:r>
    </w:p>
    <w:p w14:paraId="16281066">
      <w:pPr>
        <w:spacing w:line="520" w:lineRule="exact"/>
        <w:ind w:left="540"/>
        <w:rPr>
          <w:rFonts w:ascii="仿宋_GB2312" w:hAnsi="仿宋_GB2312" w:eastAsia="仿宋_GB2312" w:cs="仿宋_GB2312"/>
          <w:sz w:val="32"/>
          <w:szCs w:val="32"/>
        </w:rPr>
      </w:pPr>
    </w:p>
    <w:p w14:paraId="4D3C4619">
      <w:pPr>
        <w:spacing w:line="360" w:lineRule="auto"/>
        <w:ind w:left="54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6BC07EA4">
      <w:pPr>
        <w:spacing w:line="360" w:lineRule="auto"/>
        <w:ind w:left="540"/>
        <w:rPr>
          <w:rFonts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543DC4C6">
      <w:pPr>
        <w:spacing w:line="360" w:lineRule="auto"/>
        <w:ind w:left="540"/>
        <w:rPr>
          <w:rFonts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4916A478">
      <w:pPr>
        <w:spacing w:line="360" w:lineRule="auto"/>
        <w:ind w:left="540"/>
        <w:rPr>
          <w:rFonts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2F126B07">
      <w:pPr>
        <w:spacing w:line="360" w:lineRule="auto"/>
        <w:ind w:left="54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6026D380">
      <w:pPr>
        <w:spacing w:line="360" w:lineRule="auto"/>
        <w:ind w:firstLine="480" w:firstLineChars="200"/>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253DA545">
      <w:pPr>
        <w:spacing w:line="360" w:lineRule="auto"/>
        <w:ind w:left="540"/>
        <w:rPr>
          <w:rFonts w:ascii="宋体" w:hAnsi="宋体" w:cs="仿宋_GB2312"/>
          <w:sz w:val="24"/>
        </w:rPr>
      </w:pPr>
      <w:r>
        <w:rPr>
          <w:rFonts w:hint="eastAsia" w:ascii="宋体" w:hAnsi="宋体" w:cs="仿宋_GB2312"/>
          <w:sz w:val="24"/>
        </w:rPr>
        <w:t>特此证明。</w:t>
      </w:r>
    </w:p>
    <w:p w14:paraId="339CF712">
      <w:pPr>
        <w:spacing w:line="360" w:lineRule="auto"/>
        <w:ind w:left="540"/>
        <w:rPr>
          <w:rFonts w:ascii="宋体" w:hAnsi="宋体" w:cs="仿宋_GB2312"/>
          <w:sz w:val="24"/>
        </w:rPr>
      </w:pPr>
    </w:p>
    <w:p w14:paraId="2482B6BB">
      <w:pPr>
        <w:spacing w:line="360" w:lineRule="auto"/>
        <w:ind w:left="540"/>
        <w:rPr>
          <w:rFonts w:ascii="宋体" w:hAnsi="宋体" w:cs="仿宋_GB2312"/>
          <w:sz w:val="24"/>
        </w:rPr>
      </w:pPr>
    </w:p>
    <w:p w14:paraId="47D17E18">
      <w:pPr>
        <w:spacing w:line="360" w:lineRule="auto"/>
        <w:ind w:left="540"/>
        <w:rPr>
          <w:rFonts w:ascii="宋体" w:hAnsi="宋体" w:cs="仿宋_GB2312"/>
          <w:sz w:val="24"/>
        </w:rPr>
      </w:pPr>
    </w:p>
    <w:p w14:paraId="3BD7FEED">
      <w:pPr>
        <w:spacing w:line="360" w:lineRule="auto"/>
        <w:ind w:left="540"/>
        <w:rPr>
          <w:rFonts w:ascii="宋体" w:hAnsi="宋体" w:cs="仿宋_GB2312"/>
          <w:sz w:val="24"/>
        </w:rPr>
      </w:pPr>
      <w:r>
        <w:rPr>
          <w:rFonts w:hint="eastAsia" w:ascii="宋体" w:hAnsi="宋体" w:cs="仿宋_GB2312"/>
          <w:sz w:val="24"/>
        </w:rPr>
        <w:t>附件：法定代表人有效身份证正反面复印件</w:t>
      </w:r>
    </w:p>
    <w:p w14:paraId="3AFBA05F">
      <w:pPr>
        <w:spacing w:line="360" w:lineRule="auto"/>
        <w:ind w:left="540"/>
        <w:rPr>
          <w:rFonts w:ascii="宋体" w:hAnsi="宋体" w:cs="仿宋_GB2312"/>
          <w:sz w:val="24"/>
        </w:rPr>
      </w:pPr>
    </w:p>
    <w:p w14:paraId="06BC9831">
      <w:pPr>
        <w:spacing w:line="360" w:lineRule="auto"/>
        <w:ind w:left="540"/>
        <w:jc w:val="center"/>
        <w:rPr>
          <w:rFonts w:ascii="宋体" w:hAnsi="宋体" w:cs="仿宋_GB2312"/>
          <w:sz w:val="24"/>
        </w:rPr>
      </w:pPr>
      <w:r>
        <w:rPr>
          <w:rFonts w:hint="eastAsia" w:ascii="宋体" w:hAnsi="宋体" w:cs="仿宋_GB2312"/>
          <w:sz w:val="24"/>
        </w:rPr>
        <w:t>供应商（盖公章）：</w:t>
      </w:r>
      <w:r>
        <w:rPr>
          <w:rFonts w:hint="eastAsia" w:ascii="宋体" w:hAnsi="宋体" w:cs="仿宋_GB2312"/>
          <w:sz w:val="24"/>
          <w:u w:val="single"/>
        </w:rPr>
        <w:t xml:space="preserve">               </w:t>
      </w:r>
    </w:p>
    <w:p w14:paraId="32D10C39">
      <w:pPr>
        <w:snapToGrid w:val="0"/>
        <w:spacing w:before="156" w:beforeLines="50" w:after="50" w:line="360" w:lineRule="auto"/>
        <w:ind w:firstLine="4080" w:firstLineChars="1700"/>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5F200DDC">
      <w:pPr>
        <w:snapToGrid w:val="0"/>
        <w:spacing w:before="156" w:beforeLines="50" w:after="50" w:line="360" w:lineRule="auto"/>
        <w:jc w:val="center"/>
        <w:rPr>
          <w:rFonts w:ascii="宋体" w:hAnsi="宋体" w:cs="仿宋_GB2312"/>
          <w:b/>
          <w:sz w:val="24"/>
        </w:rPr>
      </w:pPr>
    </w:p>
    <w:p w14:paraId="3CB07B58">
      <w:pPr>
        <w:snapToGrid w:val="0"/>
        <w:spacing w:before="156" w:beforeLines="50" w:after="50" w:line="360" w:lineRule="auto"/>
        <w:jc w:val="left"/>
        <w:rPr>
          <w:rFonts w:ascii="宋体" w:hAnsi="宋体" w:cs="仿宋_GB2312"/>
          <w:sz w:val="24"/>
        </w:rPr>
      </w:pPr>
    </w:p>
    <w:p w14:paraId="0D3A5712">
      <w:pPr>
        <w:snapToGrid w:val="0"/>
        <w:spacing w:before="156" w:beforeLines="50" w:after="50" w:line="360" w:lineRule="auto"/>
        <w:jc w:val="left"/>
        <w:rPr>
          <w:rFonts w:ascii="宋体" w:hAnsi="宋体" w:cs="仿宋_GB2312"/>
          <w:sz w:val="24"/>
        </w:rPr>
      </w:pPr>
      <w:r>
        <w:rPr>
          <w:rFonts w:hint="eastAsia" w:ascii="宋体" w:hAnsi="宋体" w:cs="仿宋_GB2312"/>
          <w:sz w:val="24"/>
        </w:rPr>
        <w:t>注：1</w:t>
      </w:r>
      <w:r>
        <w:rPr>
          <w:rFonts w:ascii="宋体" w:hAnsi="宋体" w:cs="仿宋_GB2312"/>
          <w:sz w:val="24"/>
        </w:rPr>
        <w:t>.</w:t>
      </w:r>
      <w:r>
        <w:rPr>
          <w:rFonts w:hint="eastAsia" w:ascii="宋体" w:hAnsi="宋体" w:cs="仿宋_GB2312"/>
          <w:sz w:val="24"/>
        </w:rPr>
        <w:t>自然人竞标的无需提供，联合体竞标的只需牵头人出具。</w:t>
      </w:r>
    </w:p>
    <w:p w14:paraId="0AD712F8">
      <w:pPr>
        <w:snapToGrid w:val="0"/>
        <w:spacing w:before="156" w:beforeLines="50" w:after="50" w:line="360" w:lineRule="auto"/>
        <w:ind w:firstLine="480" w:firstLineChars="200"/>
        <w:jc w:val="left"/>
        <w:rPr>
          <w:rFonts w:ascii="仿宋_GB2312" w:hAnsi="仿宋_GB2312" w:eastAsia="仿宋_GB2312" w:cs="仿宋_GB2312"/>
          <w:b/>
          <w:sz w:val="32"/>
          <w:szCs w:val="32"/>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0AF04A9">
      <w:pPr>
        <w:adjustRightInd w:val="0"/>
        <w:snapToGrid w:val="0"/>
        <w:spacing w:line="300" w:lineRule="auto"/>
        <w:jc w:val="left"/>
        <w:rPr>
          <w:rFonts w:ascii="宋体" w:hAnsi="宋体"/>
          <w:b/>
          <w:szCs w:val="21"/>
        </w:rPr>
      </w:pPr>
    </w:p>
    <w:p w14:paraId="765698EE">
      <w:pPr>
        <w:spacing w:line="500" w:lineRule="exact"/>
        <w:rPr>
          <w:rFonts w:ascii="方正小标宋简体" w:hAnsi="方正小标宋简体" w:eastAsia="方正小标宋简体" w:cs="方正小标宋简体"/>
          <w:sz w:val="44"/>
          <w:szCs w:val="44"/>
        </w:rPr>
      </w:pPr>
    </w:p>
    <w:p w14:paraId="23847312">
      <w:pPr>
        <w:spacing w:line="500" w:lineRule="exact"/>
        <w:rPr>
          <w:rFonts w:ascii="方正小标宋简体" w:hAnsi="方正小标宋简体" w:eastAsia="方正小标宋简体" w:cs="方正小标宋简体"/>
          <w:sz w:val="44"/>
          <w:szCs w:val="44"/>
        </w:rPr>
      </w:pPr>
    </w:p>
    <w:p w14:paraId="4F2E6CBD">
      <w:pPr>
        <w:spacing w:line="500" w:lineRule="exact"/>
        <w:rPr>
          <w:rFonts w:ascii="方正小标宋简体" w:hAnsi="方正小标宋简体" w:eastAsia="方正小标宋简体" w:cs="方正小标宋简体"/>
          <w:sz w:val="44"/>
          <w:szCs w:val="44"/>
        </w:rPr>
      </w:pPr>
    </w:p>
    <w:p w14:paraId="3E116EFF">
      <w:pPr>
        <w:spacing w:line="500" w:lineRule="exac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 xml:space="preserve"> </w:t>
      </w:r>
    </w:p>
    <w:p w14:paraId="5DEFD709">
      <w:pPr>
        <w:spacing w:line="360" w:lineRule="auto"/>
        <w:jc w:val="center"/>
        <w:rPr>
          <w:rFonts w:ascii="宋体" w:hAnsi="宋体" w:cs="宋体"/>
          <w:b/>
          <w:bCs/>
          <w:sz w:val="32"/>
          <w:szCs w:val="32"/>
        </w:rPr>
      </w:pPr>
      <w:r>
        <w:rPr>
          <w:rFonts w:hint="eastAsia" w:ascii="宋体" w:hAnsi="宋体" w:cs="宋体"/>
          <w:b/>
          <w:bCs/>
          <w:sz w:val="32"/>
          <w:szCs w:val="32"/>
        </w:rPr>
        <w:t>法定代表人授权委托书（非联合体竞标格式）</w:t>
      </w:r>
    </w:p>
    <w:p w14:paraId="33D615B8">
      <w:pPr>
        <w:spacing w:line="360" w:lineRule="auto"/>
        <w:jc w:val="center"/>
        <w:rPr>
          <w:rFonts w:ascii="宋体" w:hAnsi="宋体" w:cs="宋体"/>
          <w:b/>
          <w:bCs/>
          <w:sz w:val="32"/>
          <w:szCs w:val="32"/>
        </w:rPr>
      </w:pPr>
      <w:r>
        <w:rPr>
          <w:rFonts w:hint="eastAsia" w:ascii="宋体" w:hAnsi="宋体" w:cs="宋体"/>
          <w:b/>
          <w:bCs/>
          <w:sz w:val="32"/>
          <w:szCs w:val="32"/>
        </w:rPr>
        <w:t>（如有委托时）</w:t>
      </w:r>
    </w:p>
    <w:p w14:paraId="743A220F">
      <w:pPr>
        <w:spacing w:line="520" w:lineRule="exact"/>
        <w:rPr>
          <w:rFonts w:ascii="仿宋_GB2312" w:hAnsi="仿宋_GB2312" w:eastAsia="仿宋_GB2312" w:cs="仿宋_GB2312"/>
          <w:sz w:val="32"/>
          <w:szCs w:val="32"/>
        </w:rPr>
      </w:pPr>
    </w:p>
    <w:p w14:paraId="081A63B1">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5AE79FFB">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14:paraId="4FE437F2">
      <w:pPr>
        <w:spacing w:line="360" w:lineRule="auto"/>
        <w:rPr>
          <w:rFonts w:ascii="宋体" w:hAnsi="宋体" w:cs="仿宋_GB2312"/>
          <w:sz w:val="24"/>
        </w:rPr>
      </w:pPr>
      <w:r>
        <w:rPr>
          <w:rFonts w:hint="eastAsia" w:ascii="宋体" w:hAnsi="宋体" w:cs="仿宋_GB2312"/>
          <w:sz w:val="24"/>
        </w:rPr>
        <w:t xml:space="preserve">    我方对委托代理人的签字事项负全部责任。</w:t>
      </w:r>
    </w:p>
    <w:p w14:paraId="74D08136">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24883633">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5B3DEB15">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14:paraId="1DB34F8E">
      <w:pPr>
        <w:spacing w:line="360" w:lineRule="auto"/>
        <w:rPr>
          <w:rFonts w:ascii="宋体" w:hAnsi="宋体" w:cs="仿宋_GB2312"/>
          <w:sz w:val="24"/>
        </w:rPr>
      </w:pPr>
    </w:p>
    <w:p w14:paraId="4C3A7278">
      <w:pPr>
        <w:spacing w:line="360" w:lineRule="auto"/>
        <w:rPr>
          <w:rFonts w:ascii="宋体" w:hAnsi="宋体" w:cs="仿宋_GB2312"/>
          <w:sz w:val="24"/>
        </w:rPr>
      </w:pPr>
      <w:r>
        <w:rPr>
          <w:rFonts w:hint="eastAsia" w:ascii="宋体" w:hAnsi="宋体" w:cs="仿宋_GB2312"/>
          <w:sz w:val="24"/>
        </w:rPr>
        <w:t xml:space="preserve">委托代理人（签字）：                 法定代表人（签字）：                    </w:t>
      </w:r>
    </w:p>
    <w:p w14:paraId="6CD4117F">
      <w:pPr>
        <w:spacing w:line="360" w:lineRule="auto"/>
        <w:rPr>
          <w:rFonts w:ascii="宋体" w:hAnsi="宋体" w:cs="仿宋_GB2312"/>
          <w:sz w:val="24"/>
        </w:rPr>
      </w:pPr>
      <w:r>
        <w:rPr>
          <w:rFonts w:hint="eastAsia" w:ascii="宋体" w:hAnsi="宋体" w:cs="仿宋_GB2312"/>
          <w:sz w:val="24"/>
        </w:rPr>
        <w:t xml:space="preserve">委托代理人身份证号码：                              </w:t>
      </w:r>
    </w:p>
    <w:p w14:paraId="1B957259">
      <w:pPr>
        <w:spacing w:line="360" w:lineRule="auto"/>
        <w:rPr>
          <w:rFonts w:ascii="宋体" w:hAnsi="宋体" w:cs="仿宋_GB2312"/>
          <w:sz w:val="24"/>
        </w:rPr>
      </w:pPr>
      <w:r>
        <w:rPr>
          <w:rFonts w:hint="eastAsia" w:ascii="宋体" w:hAnsi="宋体" w:cs="仿宋_GB2312"/>
          <w:sz w:val="24"/>
        </w:rPr>
        <w:t xml:space="preserve">                                </w:t>
      </w:r>
    </w:p>
    <w:p w14:paraId="586D4140">
      <w:pPr>
        <w:spacing w:line="360" w:lineRule="auto"/>
        <w:rPr>
          <w:rFonts w:ascii="宋体" w:hAnsi="宋体" w:cs="仿宋_GB2312"/>
          <w:sz w:val="24"/>
        </w:rPr>
      </w:pPr>
      <w:r>
        <w:rPr>
          <w:rFonts w:hint="eastAsia" w:ascii="宋体" w:hAnsi="宋体" w:cs="仿宋_GB2312"/>
          <w:sz w:val="24"/>
        </w:rPr>
        <w:t xml:space="preserve">                                供应商（盖公章）：                      </w:t>
      </w:r>
    </w:p>
    <w:p w14:paraId="6F2E97F6">
      <w:pPr>
        <w:spacing w:line="360" w:lineRule="auto"/>
        <w:rPr>
          <w:rFonts w:ascii="宋体" w:hAnsi="宋体" w:cs="仿宋_GB2312"/>
          <w:sz w:val="24"/>
        </w:rPr>
      </w:pPr>
      <w:r>
        <w:rPr>
          <w:rFonts w:hint="eastAsia" w:ascii="宋体" w:hAnsi="宋体" w:cs="仿宋_GB2312"/>
          <w:sz w:val="24"/>
        </w:rPr>
        <w:t xml:space="preserve">                                              年    月    日</w:t>
      </w:r>
    </w:p>
    <w:p w14:paraId="18B16115">
      <w:pPr>
        <w:spacing w:line="360" w:lineRule="auto"/>
        <w:rPr>
          <w:rFonts w:ascii="宋体" w:hAnsi="宋体" w:cs="仿宋_GB2312"/>
          <w:sz w:val="24"/>
        </w:rPr>
      </w:pPr>
    </w:p>
    <w:p w14:paraId="1FD2947C">
      <w:pPr>
        <w:spacing w:line="360" w:lineRule="auto"/>
        <w:rPr>
          <w:rFonts w:ascii="宋体" w:hAnsi="宋体" w:cs="仿宋_GB2312"/>
          <w:sz w:val="24"/>
        </w:rPr>
      </w:pPr>
      <w:r>
        <w:rPr>
          <w:rFonts w:hint="eastAsia" w:ascii="宋体" w:hAnsi="宋体" w:cs="仿宋_GB2312"/>
          <w:sz w:val="24"/>
        </w:rPr>
        <w:t>注：1.法定代表人和委托代理人必须在授权委托书上亲笔签名，不得使用印章、签名章或者其他电子制版签名代替；</w:t>
      </w:r>
    </w:p>
    <w:p w14:paraId="5553A39C">
      <w:pPr>
        <w:spacing w:line="360" w:lineRule="auto"/>
        <w:ind w:firstLine="480" w:firstLineChars="200"/>
        <w:jc w:val="left"/>
        <w:rPr>
          <w:rFonts w:ascii="仿宋_GB2312" w:hAnsi="仿宋_GB2312" w:eastAsia="仿宋_GB2312" w:cs="仿宋_GB2312"/>
          <w:szCs w:val="21"/>
        </w:rPr>
      </w:pPr>
      <w:r>
        <w:rPr>
          <w:rFonts w:ascii="宋体" w:hAnsi="宋体" w:cs="仿宋_GB2312"/>
          <w:sz w:val="24"/>
        </w:rPr>
        <w:t>2.</w:t>
      </w:r>
      <w:r>
        <w:rPr>
          <w:rFonts w:hint="eastAsia" w:ascii="宋体" w:hAnsi="宋体" w:cs="仿宋_GB2312"/>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6DD2C52">
      <w:pPr>
        <w:spacing w:line="360" w:lineRule="auto"/>
        <w:jc w:val="center"/>
        <w:rPr>
          <w:rFonts w:ascii="宋体" w:hAnsi="宋体" w:cs="宋体"/>
          <w:b/>
          <w:bCs/>
          <w:sz w:val="32"/>
          <w:szCs w:val="32"/>
        </w:rPr>
      </w:pPr>
      <w:r>
        <w:rPr>
          <w:rFonts w:ascii="仿宋_GB2312" w:hAnsi="仿宋_GB2312" w:eastAsia="仿宋_GB2312" w:cs="仿宋_GB2312"/>
          <w:szCs w:val="21"/>
        </w:rPr>
        <w:br w:type="page"/>
      </w:r>
      <w:r>
        <w:rPr>
          <w:rFonts w:hint="eastAsia" w:ascii="宋体" w:hAnsi="宋体" w:cs="宋体"/>
          <w:b/>
          <w:bCs/>
          <w:sz w:val="32"/>
          <w:szCs w:val="32"/>
        </w:rPr>
        <w:t>商务条款偏离表格式</w:t>
      </w:r>
    </w:p>
    <w:p w14:paraId="4E388C1E">
      <w:pPr>
        <w:spacing w:line="360" w:lineRule="auto"/>
        <w:jc w:val="center"/>
        <w:rPr>
          <w:rFonts w:ascii="宋体" w:hAnsi="宋体"/>
          <w:sz w:val="24"/>
        </w:rPr>
      </w:pPr>
      <w:r>
        <w:rPr>
          <w:rFonts w:hint="eastAsia" w:ascii="宋体" w:hAnsi="宋体" w:cs="宋体"/>
          <w:b/>
          <w:bCs/>
          <w:sz w:val="32"/>
          <w:szCs w:val="32"/>
        </w:rPr>
        <w:t>(注：按采购需求具体条款修改)</w:t>
      </w:r>
    </w:p>
    <w:p w14:paraId="72268B48">
      <w:pPr>
        <w:snapToGrid w:val="0"/>
        <w:spacing w:before="50" w:line="360" w:lineRule="auto"/>
        <w:jc w:val="left"/>
        <w:rPr>
          <w:rFonts w:ascii="宋体" w:hAnsi="宋体" w:cs="仿宋_GB2312"/>
          <w:sz w:val="24"/>
          <w:u w:val="single"/>
        </w:rPr>
      </w:pPr>
    </w:p>
    <w:tbl>
      <w:tblPr>
        <w:tblStyle w:val="33"/>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775"/>
        <w:gridCol w:w="1687"/>
      </w:tblGrid>
      <w:tr w14:paraId="7BA58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21C5D4D5">
            <w:pPr>
              <w:snapToGrid w:val="0"/>
              <w:spacing w:before="156" w:beforeLines="50" w:line="360" w:lineRule="auto"/>
              <w:jc w:val="center"/>
              <w:rPr>
                <w:rFonts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768CB806">
            <w:pPr>
              <w:snapToGrid w:val="0"/>
              <w:spacing w:before="156" w:beforeLines="50" w:line="360" w:lineRule="auto"/>
              <w:jc w:val="center"/>
              <w:rPr>
                <w:rFonts w:ascii="宋体" w:hAnsi="宋体" w:cs="仿宋_GB2312"/>
                <w:sz w:val="24"/>
              </w:rPr>
            </w:pPr>
            <w:r>
              <w:rPr>
                <w:rFonts w:hint="eastAsia" w:ascii="宋体" w:hAnsi="宋体" w:cs="仿宋_GB2312"/>
                <w:sz w:val="24"/>
              </w:rPr>
              <w:t>磋商文件商务条款要求</w:t>
            </w:r>
          </w:p>
        </w:tc>
        <w:tc>
          <w:tcPr>
            <w:tcW w:w="2775" w:type="dxa"/>
            <w:tcBorders>
              <w:top w:val="single" w:color="auto" w:sz="4" w:space="0"/>
              <w:left w:val="single" w:color="auto" w:sz="4" w:space="0"/>
              <w:bottom w:val="single" w:color="auto" w:sz="4" w:space="0"/>
              <w:right w:val="single" w:color="auto" w:sz="4" w:space="0"/>
            </w:tcBorders>
            <w:vAlign w:val="center"/>
          </w:tcPr>
          <w:p w14:paraId="7C3105B5">
            <w:pPr>
              <w:snapToGrid w:val="0"/>
              <w:spacing w:before="156" w:beforeLines="50" w:line="360" w:lineRule="auto"/>
              <w:jc w:val="center"/>
              <w:rPr>
                <w:rFonts w:ascii="宋体" w:hAnsi="宋体" w:cs="仿宋_GB2312"/>
                <w:sz w:val="24"/>
              </w:rPr>
            </w:pPr>
            <w:r>
              <w:rPr>
                <w:rFonts w:hint="eastAsia" w:ascii="宋体" w:hAnsi="宋体" w:cs="仿宋_GB2312"/>
                <w:sz w:val="24"/>
              </w:rPr>
              <w:t>供应商的承诺</w:t>
            </w:r>
          </w:p>
        </w:tc>
        <w:tc>
          <w:tcPr>
            <w:tcW w:w="1687" w:type="dxa"/>
            <w:tcBorders>
              <w:top w:val="single" w:color="auto" w:sz="4" w:space="0"/>
              <w:left w:val="single" w:color="auto" w:sz="4" w:space="0"/>
              <w:bottom w:val="single" w:color="auto" w:sz="4" w:space="0"/>
              <w:right w:val="single" w:color="auto" w:sz="4" w:space="0"/>
            </w:tcBorders>
            <w:vAlign w:val="center"/>
          </w:tcPr>
          <w:p w14:paraId="332EDC15">
            <w:pPr>
              <w:snapToGrid w:val="0"/>
              <w:spacing w:before="156" w:beforeLines="50" w:line="360" w:lineRule="auto"/>
              <w:jc w:val="center"/>
              <w:rPr>
                <w:rFonts w:ascii="宋体" w:hAnsi="宋体" w:cs="仿宋_GB2312"/>
                <w:sz w:val="24"/>
              </w:rPr>
            </w:pPr>
            <w:r>
              <w:rPr>
                <w:rFonts w:hint="eastAsia" w:ascii="宋体" w:hAnsi="宋体" w:cs="仿宋_GB2312"/>
                <w:sz w:val="24"/>
              </w:rPr>
              <w:t>偏离说明</w:t>
            </w:r>
          </w:p>
        </w:tc>
      </w:tr>
      <w:tr w14:paraId="0367D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012261C5">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7A919B7D">
            <w:pPr>
              <w:snapToGrid w:val="0"/>
              <w:spacing w:before="156" w:beforeLines="50" w:line="360" w:lineRule="auto"/>
              <w:jc w:val="center"/>
              <w:rPr>
                <w:rFonts w:ascii="宋体" w:hAnsi="宋体"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2A0E03F">
            <w:pPr>
              <w:snapToGrid w:val="0"/>
              <w:spacing w:before="156" w:beforeLines="50" w:line="360" w:lineRule="auto"/>
              <w:jc w:val="center"/>
              <w:rPr>
                <w:rFonts w:ascii="宋体" w:hAnsi="宋体" w:cs="仿宋_GB2312"/>
                <w:sz w:val="24"/>
              </w:rPr>
            </w:pPr>
          </w:p>
        </w:tc>
        <w:tc>
          <w:tcPr>
            <w:tcW w:w="1687" w:type="dxa"/>
            <w:tcBorders>
              <w:top w:val="single" w:color="auto" w:sz="4" w:space="0"/>
              <w:left w:val="single" w:color="auto" w:sz="4" w:space="0"/>
              <w:bottom w:val="single" w:color="auto" w:sz="4" w:space="0"/>
              <w:right w:val="single" w:color="auto" w:sz="4" w:space="0"/>
            </w:tcBorders>
            <w:vAlign w:val="center"/>
          </w:tcPr>
          <w:p w14:paraId="3CE21361">
            <w:pPr>
              <w:snapToGrid w:val="0"/>
              <w:spacing w:before="156" w:beforeLines="50" w:line="360" w:lineRule="auto"/>
              <w:jc w:val="center"/>
              <w:rPr>
                <w:rFonts w:ascii="宋体" w:hAnsi="宋体" w:cs="仿宋_GB2312"/>
                <w:sz w:val="24"/>
              </w:rPr>
            </w:pPr>
          </w:p>
        </w:tc>
      </w:tr>
      <w:tr w14:paraId="23978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6277CE44">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51C2FD23">
            <w:pPr>
              <w:snapToGrid w:val="0"/>
              <w:spacing w:before="156" w:beforeLines="50" w:line="360" w:lineRule="auto"/>
              <w:jc w:val="center"/>
              <w:rPr>
                <w:rFonts w:ascii="宋体" w:hAnsi="宋体"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C766605">
            <w:pPr>
              <w:snapToGrid w:val="0"/>
              <w:spacing w:before="156" w:beforeLines="50" w:line="360" w:lineRule="auto"/>
              <w:jc w:val="center"/>
              <w:rPr>
                <w:rFonts w:ascii="宋体" w:hAnsi="宋体" w:cs="仿宋_GB2312"/>
                <w:sz w:val="24"/>
              </w:rPr>
            </w:pPr>
          </w:p>
        </w:tc>
        <w:tc>
          <w:tcPr>
            <w:tcW w:w="1687" w:type="dxa"/>
            <w:tcBorders>
              <w:top w:val="single" w:color="auto" w:sz="4" w:space="0"/>
              <w:left w:val="single" w:color="auto" w:sz="4" w:space="0"/>
              <w:bottom w:val="single" w:color="auto" w:sz="4" w:space="0"/>
              <w:right w:val="single" w:color="auto" w:sz="4" w:space="0"/>
            </w:tcBorders>
            <w:vAlign w:val="center"/>
          </w:tcPr>
          <w:p w14:paraId="024A4A28">
            <w:pPr>
              <w:snapToGrid w:val="0"/>
              <w:spacing w:before="156" w:beforeLines="50" w:line="360" w:lineRule="auto"/>
              <w:jc w:val="center"/>
              <w:rPr>
                <w:rFonts w:ascii="宋体" w:hAnsi="宋体" w:cs="仿宋_GB2312"/>
                <w:sz w:val="24"/>
              </w:rPr>
            </w:pPr>
          </w:p>
        </w:tc>
      </w:tr>
      <w:tr w14:paraId="20759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4F1AABB5">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6CFAC17D">
            <w:pPr>
              <w:snapToGrid w:val="0"/>
              <w:spacing w:before="156" w:beforeLines="50" w:line="360" w:lineRule="auto"/>
              <w:jc w:val="center"/>
              <w:rPr>
                <w:rFonts w:ascii="宋体" w:hAnsi="宋体"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8347C46">
            <w:pPr>
              <w:snapToGrid w:val="0"/>
              <w:spacing w:before="156" w:beforeLines="50" w:line="360" w:lineRule="auto"/>
              <w:ind w:left="43"/>
              <w:jc w:val="center"/>
              <w:rPr>
                <w:rFonts w:ascii="宋体" w:hAnsi="宋体" w:cs="仿宋_GB2312"/>
                <w:sz w:val="24"/>
              </w:rPr>
            </w:pPr>
          </w:p>
        </w:tc>
        <w:tc>
          <w:tcPr>
            <w:tcW w:w="1687" w:type="dxa"/>
            <w:tcBorders>
              <w:top w:val="single" w:color="auto" w:sz="4" w:space="0"/>
              <w:left w:val="single" w:color="auto" w:sz="4" w:space="0"/>
              <w:bottom w:val="single" w:color="auto" w:sz="4" w:space="0"/>
              <w:right w:val="single" w:color="auto" w:sz="4" w:space="0"/>
            </w:tcBorders>
            <w:vAlign w:val="center"/>
          </w:tcPr>
          <w:p w14:paraId="6555796A">
            <w:pPr>
              <w:snapToGrid w:val="0"/>
              <w:spacing w:before="156" w:beforeLines="50" w:line="360" w:lineRule="auto"/>
              <w:ind w:left="43"/>
              <w:jc w:val="center"/>
              <w:rPr>
                <w:rFonts w:ascii="宋体" w:hAnsi="宋体" w:cs="仿宋_GB2312"/>
                <w:sz w:val="24"/>
              </w:rPr>
            </w:pPr>
          </w:p>
        </w:tc>
      </w:tr>
      <w:tr w14:paraId="1F763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14:paraId="5FDB372B">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7A104F0E">
            <w:pPr>
              <w:snapToGrid w:val="0"/>
              <w:spacing w:before="156" w:beforeLines="50" w:line="360" w:lineRule="auto"/>
              <w:jc w:val="center"/>
              <w:rPr>
                <w:rFonts w:ascii="宋体" w:hAnsi="宋体"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620CA22">
            <w:pPr>
              <w:snapToGrid w:val="0"/>
              <w:spacing w:before="156" w:beforeLines="50" w:line="360" w:lineRule="auto"/>
              <w:jc w:val="center"/>
              <w:rPr>
                <w:rFonts w:ascii="宋体" w:hAnsi="宋体" w:cs="仿宋_GB2312"/>
                <w:sz w:val="24"/>
              </w:rPr>
            </w:pPr>
          </w:p>
        </w:tc>
        <w:tc>
          <w:tcPr>
            <w:tcW w:w="1687" w:type="dxa"/>
            <w:tcBorders>
              <w:top w:val="single" w:color="auto" w:sz="4" w:space="0"/>
              <w:left w:val="single" w:color="auto" w:sz="4" w:space="0"/>
              <w:bottom w:val="single" w:color="auto" w:sz="4" w:space="0"/>
              <w:right w:val="single" w:color="auto" w:sz="4" w:space="0"/>
            </w:tcBorders>
            <w:vAlign w:val="center"/>
          </w:tcPr>
          <w:p w14:paraId="743AC501">
            <w:pPr>
              <w:snapToGrid w:val="0"/>
              <w:spacing w:before="156" w:beforeLines="50" w:line="360" w:lineRule="auto"/>
              <w:jc w:val="center"/>
              <w:rPr>
                <w:rFonts w:ascii="宋体" w:hAnsi="宋体" w:cs="仿宋_GB2312"/>
                <w:sz w:val="24"/>
              </w:rPr>
            </w:pPr>
          </w:p>
        </w:tc>
      </w:tr>
      <w:tr w14:paraId="38E3A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0264D217">
            <w:pPr>
              <w:snapToGrid w:val="0"/>
              <w:spacing w:before="156" w:beforeLines="50" w:line="360" w:lineRule="auto"/>
              <w:jc w:val="center"/>
              <w:rPr>
                <w:rFonts w:ascii="宋体" w:hAnsi="宋体" w:cs="仿宋_GB2312"/>
                <w:sz w:val="24"/>
              </w:rPr>
            </w:pPr>
            <w:r>
              <w:rPr>
                <w:rFonts w:hint="eastAsia" w:ascii="宋体" w:hAnsi="宋体" w:cs="仿宋_GB2312"/>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6AB98DF0">
            <w:pPr>
              <w:snapToGrid w:val="0"/>
              <w:spacing w:before="156" w:beforeLines="50" w:line="360" w:lineRule="auto"/>
              <w:jc w:val="center"/>
              <w:rPr>
                <w:rFonts w:ascii="宋体" w:hAnsi="宋体"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72D41FB">
            <w:pPr>
              <w:snapToGrid w:val="0"/>
              <w:spacing w:before="156" w:beforeLines="50" w:line="360" w:lineRule="auto"/>
              <w:jc w:val="center"/>
              <w:rPr>
                <w:rFonts w:ascii="宋体" w:hAnsi="宋体" w:cs="仿宋_GB2312"/>
                <w:sz w:val="24"/>
              </w:rPr>
            </w:pPr>
          </w:p>
        </w:tc>
        <w:tc>
          <w:tcPr>
            <w:tcW w:w="1687" w:type="dxa"/>
            <w:tcBorders>
              <w:top w:val="single" w:color="auto" w:sz="4" w:space="0"/>
              <w:left w:val="single" w:color="auto" w:sz="4" w:space="0"/>
              <w:bottom w:val="single" w:color="auto" w:sz="4" w:space="0"/>
              <w:right w:val="single" w:color="auto" w:sz="4" w:space="0"/>
            </w:tcBorders>
            <w:vAlign w:val="center"/>
          </w:tcPr>
          <w:p w14:paraId="7377B548">
            <w:pPr>
              <w:snapToGrid w:val="0"/>
              <w:spacing w:before="156" w:beforeLines="50" w:line="360" w:lineRule="auto"/>
              <w:jc w:val="center"/>
              <w:rPr>
                <w:rFonts w:ascii="宋体" w:hAnsi="宋体" w:cs="仿宋_GB2312"/>
                <w:sz w:val="24"/>
              </w:rPr>
            </w:pPr>
          </w:p>
        </w:tc>
      </w:tr>
    </w:tbl>
    <w:p w14:paraId="03188A85">
      <w:pPr>
        <w:pStyle w:val="13"/>
        <w:rPr>
          <w:rFonts w:ascii="宋体" w:hAnsi="宋体"/>
          <w:kern w:val="0"/>
          <w:sz w:val="24"/>
          <w:szCs w:val="24"/>
        </w:rPr>
      </w:pPr>
      <w:r>
        <w:rPr>
          <w:rFonts w:hint="eastAsia" w:ascii="宋体" w:hAnsi="宋体"/>
          <w:kern w:val="0"/>
          <w:sz w:val="24"/>
          <w:szCs w:val="24"/>
        </w:rPr>
        <w:t>注：</w:t>
      </w:r>
    </w:p>
    <w:p w14:paraId="739299CB">
      <w:pPr>
        <w:pStyle w:val="13"/>
        <w:spacing w:line="360" w:lineRule="auto"/>
        <w:rPr>
          <w:rFonts w:ascii="宋体" w:hAnsi="宋体"/>
          <w:kern w:val="0"/>
          <w:sz w:val="24"/>
          <w:szCs w:val="24"/>
        </w:rPr>
      </w:pPr>
      <w:r>
        <w:rPr>
          <w:rFonts w:hint="eastAsia" w:ascii="宋体" w:hAnsi="宋体"/>
          <w:kern w:val="0"/>
          <w:sz w:val="24"/>
          <w:szCs w:val="24"/>
        </w:rPr>
        <w:t>1. 说明：应对照磋商文件“第三章 采购需求”中的</w:t>
      </w:r>
      <w:r>
        <w:rPr>
          <w:rFonts w:hint="eastAsia" w:ascii="宋体" w:hAnsi="宋体"/>
          <w:b/>
          <w:bCs/>
          <w:kern w:val="0"/>
          <w:sz w:val="24"/>
          <w:szCs w:val="24"/>
        </w:rPr>
        <w:t>“商务条款”</w:t>
      </w:r>
      <w:r>
        <w:rPr>
          <w:rFonts w:hint="eastAsia" w:ascii="宋体" w:hAnsi="宋体"/>
          <w:kern w:val="0"/>
          <w:sz w:val="24"/>
          <w:szCs w:val="24"/>
        </w:rPr>
        <w:t>逐条实质性响应，并作出偏离说明。</w:t>
      </w:r>
    </w:p>
    <w:p w14:paraId="19D9A603">
      <w:pPr>
        <w:snapToGrid w:val="0"/>
        <w:spacing w:before="50" w:line="360" w:lineRule="auto"/>
        <w:jc w:val="left"/>
        <w:rPr>
          <w:rFonts w:ascii="宋体" w:hAnsi="宋体" w:cs="仿宋_GB2312"/>
          <w:sz w:val="24"/>
          <w:u w:val="single"/>
        </w:rPr>
      </w:pPr>
      <w:r>
        <w:rPr>
          <w:rFonts w:hint="eastAsia" w:ascii="宋体" w:hAnsi="宋体"/>
          <w:kern w:val="0"/>
          <w:sz w:val="24"/>
        </w:rPr>
        <w:t>2.供应商应根据自身的承诺，对照磋商文件要求在“偏离说明”中注明“正偏离”、“负偏离”或者“无偏离”。既不属于“正偏离”也不属于“负偏离”即为“无偏离”。</w:t>
      </w:r>
    </w:p>
    <w:p w14:paraId="1D9EE873">
      <w:pPr>
        <w:snapToGrid w:val="0"/>
        <w:spacing w:before="50" w:after="50" w:line="360" w:lineRule="auto"/>
        <w:ind w:right="-817" w:rightChars="-389"/>
        <w:rPr>
          <w:rFonts w:ascii="宋体" w:hAnsi="宋体" w:cs="仿宋_GB2312"/>
          <w:sz w:val="24"/>
        </w:rPr>
      </w:pPr>
    </w:p>
    <w:p w14:paraId="2053278A">
      <w:pPr>
        <w:snapToGrid w:val="0"/>
        <w:spacing w:before="50" w:after="50" w:line="360" w:lineRule="auto"/>
        <w:ind w:right="-817" w:rightChars="-389" w:firstLine="960" w:firstLineChars="400"/>
        <w:rPr>
          <w:rFonts w:ascii="宋体" w:hAnsi="宋体" w:cs="仿宋_GB2312"/>
          <w:sz w:val="24"/>
        </w:rPr>
      </w:pPr>
      <w:r>
        <w:rPr>
          <w:rFonts w:hint="eastAsia" w:ascii="宋体" w:hAnsi="宋体" w:cs="仿宋_GB2312"/>
          <w:sz w:val="24"/>
        </w:rPr>
        <w:t xml:space="preserve">法定代表人或者委托代理人（签字）：                    </w:t>
      </w:r>
    </w:p>
    <w:p w14:paraId="680EDF7A">
      <w:pPr>
        <w:snapToGrid w:val="0"/>
        <w:spacing w:before="50" w:after="50" w:line="360" w:lineRule="auto"/>
        <w:ind w:right="-817" w:rightChars="-389" w:firstLine="2640" w:firstLineChars="1100"/>
        <w:rPr>
          <w:rFonts w:ascii="宋体" w:hAnsi="宋体" w:cs="仿宋_GB2312"/>
          <w:sz w:val="24"/>
        </w:rPr>
      </w:pPr>
      <w:r>
        <w:rPr>
          <w:rFonts w:hint="eastAsia" w:ascii="宋体" w:hAnsi="宋体" w:cs="仿宋_GB2312"/>
          <w:sz w:val="24"/>
        </w:rPr>
        <w:t xml:space="preserve">供应商（盖公章）：      </w:t>
      </w:r>
    </w:p>
    <w:p w14:paraId="0D4DA245">
      <w:pPr>
        <w:snapToGrid w:val="0"/>
        <w:spacing w:before="50" w:after="50" w:line="360" w:lineRule="auto"/>
        <w:ind w:right="-817" w:rightChars="-389" w:firstLine="4080" w:firstLineChars="1700"/>
        <w:rPr>
          <w:rFonts w:ascii="仿宋_GB2312" w:hAnsi="仿宋_GB2312" w:eastAsia="仿宋_GB2312" w:cs="仿宋_GB2312"/>
          <w:b/>
          <w:sz w:val="32"/>
          <w:szCs w:val="32"/>
        </w:rPr>
      </w:pPr>
      <w:r>
        <w:rPr>
          <w:rFonts w:hint="eastAsia" w:ascii="宋体" w:hAnsi="宋体" w:cs="仿宋_GB2312"/>
          <w:sz w:val="24"/>
        </w:rPr>
        <w:t>日期：   年   月   日</w:t>
      </w:r>
    </w:p>
    <w:p w14:paraId="1AFC22B5">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6F9B1E12">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6C10F71B">
      <w:pPr>
        <w:pStyle w:val="26"/>
        <w:ind w:left="980" w:hanging="560"/>
      </w:pPr>
    </w:p>
    <w:p w14:paraId="114D9EA6"/>
    <w:p w14:paraId="6E6FF2B7">
      <w:pPr>
        <w:pStyle w:val="26"/>
        <w:ind w:left="980" w:hanging="560"/>
      </w:pPr>
    </w:p>
    <w:p w14:paraId="700A0916">
      <w:pPr>
        <w:spacing w:line="360" w:lineRule="auto"/>
        <w:jc w:val="center"/>
        <w:rPr>
          <w:rFonts w:ascii="宋体" w:hAnsi="宋体" w:cs="宋体"/>
          <w:b/>
          <w:bCs/>
          <w:sz w:val="32"/>
          <w:szCs w:val="32"/>
        </w:rPr>
      </w:pPr>
      <w:r>
        <w:rPr>
          <w:rFonts w:hint="eastAsia" w:ascii="宋体" w:hAnsi="宋体" w:cs="宋体"/>
          <w:b/>
          <w:bCs/>
          <w:sz w:val="32"/>
          <w:szCs w:val="32"/>
        </w:rPr>
        <w:t>技术需求偏离表格式</w:t>
      </w:r>
    </w:p>
    <w:p w14:paraId="08D6814C">
      <w:pPr>
        <w:spacing w:line="360" w:lineRule="auto"/>
        <w:jc w:val="center"/>
        <w:rPr>
          <w:rFonts w:ascii="宋体" w:hAnsi="宋体" w:cs="宋体"/>
          <w:b/>
          <w:bCs/>
          <w:sz w:val="32"/>
          <w:szCs w:val="32"/>
        </w:rPr>
      </w:pPr>
      <w:r>
        <w:rPr>
          <w:rFonts w:hint="eastAsia" w:ascii="宋体" w:hAnsi="宋体" w:cs="宋体"/>
          <w:b/>
          <w:bCs/>
          <w:sz w:val="32"/>
          <w:szCs w:val="32"/>
        </w:rPr>
        <w:t>(注：按采购需求具体条款修改)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459"/>
        <w:gridCol w:w="2718"/>
        <w:gridCol w:w="2734"/>
        <w:gridCol w:w="1492"/>
      </w:tblGrid>
      <w:tr w14:paraId="383F79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692" w:type="dxa"/>
            <w:vAlign w:val="center"/>
          </w:tcPr>
          <w:p w14:paraId="7FDAB265">
            <w:pPr>
              <w:pStyle w:val="18"/>
              <w:adjustRightInd w:val="0"/>
              <w:snapToGrid w:val="0"/>
              <w:spacing w:line="360" w:lineRule="auto"/>
              <w:ind w:left="0" w:leftChars="0"/>
              <w:jc w:val="center"/>
              <w:rPr>
                <w:rFonts w:ascii="宋体" w:hAnsi="宋体" w:cs="仿宋_GB2312"/>
                <w:sz w:val="24"/>
              </w:rPr>
            </w:pPr>
            <w:bookmarkStart w:id="106" w:name="_Toc383699906"/>
            <w:bookmarkStart w:id="107" w:name="_Toc297193185"/>
            <w:bookmarkStart w:id="108" w:name="_Toc254970729"/>
            <w:bookmarkStart w:id="109" w:name="_Toc295404981"/>
            <w:bookmarkStart w:id="110" w:name="_Toc373333689"/>
            <w:bookmarkStart w:id="111" w:name="_Toc173066401"/>
            <w:bookmarkStart w:id="112" w:name="_Toc301781611"/>
            <w:bookmarkStart w:id="113" w:name="_Toc173211900"/>
            <w:bookmarkStart w:id="114" w:name="_Toc254970588"/>
            <w:r>
              <w:rPr>
                <w:rFonts w:hint="eastAsia" w:ascii="宋体" w:hAnsi="宋体" w:cs="仿宋_GB2312"/>
                <w:sz w:val="24"/>
              </w:rPr>
              <w:t>序号</w:t>
            </w:r>
            <w:bookmarkEnd w:id="106"/>
            <w:bookmarkEnd w:id="107"/>
            <w:bookmarkEnd w:id="108"/>
            <w:bookmarkEnd w:id="109"/>
            <w:bookmarkEnd w:id="110"/>
            <w:bookmarkEnd w:id="111"/>
            <w:bookmarkEnd w:id="112"/>
            <w:bookmarkEnd w:id="113"/>
            <w:bookmarkEnd w:id="114"/>
          </w:p>
        </w:tc>
        <w:tc>
          <w:tcPr>
            <w:tcW w:w="1459" w:type="dxa"/>
            <w:tcBorders>
              <w:right w:val="single" w:color="auto" w:sz="4" w:space="0"/>
            </w:tcBorders>
            <w:vAlign w:val="center"/>
          </w:tcPr>
          <w:p w14:paraId="588910AA">
            <w:pPr>
              <w:pStyle w:val="18"/>
              <w:adjustRightInd w:val="0"/>
              <w:snapToGrid w:val="0"/>
              <w:spacing w:line="360" w:lineRule="auto"/>
              <w:ind w:left="0" w:leftChars="0"/>
              <w:jc w:val="center"/>
              <w:rPr>
                <w:rFonts w:ascii="宋体" w:hAnsi="宋体" w:cs="仿宋_GB2312"/>
                <w:sz w:val="24"/>
              </w:rPr>
            </w:pPr>
            <w:r>
              <w:rPr>
                <w:rFonts w:hint="eastAsia" w:ascii="宋体" w:hAnsi="宋体" w:cs="仿宋_GB2312"/>
                <w:sz w:val="24"/>
              </w:rPr>
              <w:t>名称</w:t>
            </w:r>
          </w:p>
        </w:tc>
        <w:tc>
          <w:tcPr>
            <w:tcW w:w="2718" w:type="dxa"/>
            <w:tcBorders>
              <w:left w:val="single" w:color="auto" w:sz="4" w:space="0"/>
            </w:tcBorders>
            <w:vAlign w:val="center"/>
          </w:tcPr>
          <w:p w14:paraId="4EFF2AFE">
            <w:pPr>
              <w:pStyle w:val="18"/>
              <w:adjustRightInd w:val="0"/>
              <w:snapToGrid w:val="0"/>
              <w:spacing w:line="360" w:lineRule="auto"/>
              <w:ind w:left="0" w:leftChars="0"/>
              <w:jc w:val="center"/>
              <w:rPr>
                <w:rFonts w:ascii="宋体" w:hAnsi="宋体" w:cs="仿宋_GB2312"/>
                <w:sz w:val="24"/>
              </w:rPr>
            </w:pPr>
            <w:r>
              <w:rPr>
                <w:rFonts w:hint="eastAsia" w:ascii="宋体" w:hAnsi="宋体" w:cs="仿宋_GB2312"/>
                <w:sz w:val="24"/>
              </w:rPr>
              <w:t>磋商文件技术需求</w:t>
            </w:r>
          </w:p>
        </w:tc>
        <w:tc>
          <w:tcPr>
            <w:tcW w:w="2734" w:type="dxa"/>
            <w:vAlign w:val="center"/>
          </w:tcPr>
          <w:p w14:paraId="6C525DFE">
            <w:pPr>
              <w:pStyle w:val="18"/>
              <w:adjustRightInd w:val="0"/>
              <w:snapToGrid w:val="0"/>
              <w:spacing w:line="360" w:lineRule="auto"/>
              <w:ind w:left="0" w:leftChars="0"/>
              <w:jc w:val="center"/>
              <w:rPr>
                <w:rFonts w:ascii="宋体" w:hAnsi="宋体" w:cs="仿宋_GB2312"/>
                <w:sz w:val="24"/>
              </w:rPr>
            </w:pPr>
            <w:bookmarkStart w:id="115" w:name="_Toc173211902"/>
            <w:bookmarkStart w:id="116" w:name="_Toc173066403"/>
            <w:bookmarkStart w:id="117" w:name="_Toc254970731"/>
            <w:bookmarkStart w:id="118" w:name="_Toc383699908"/>
            <w:bookmarkStart w:id="119" w:name="_Toc301781613"/>
            <w:bookmarkStart w:id="120" w:name="_Toc373333691"/>
            <w:bookmarkStart w:id="121" w:name="_Toc295404983"/>
            <w:bookmarkStart w:id="122" w:name="_Toc297193187"/>
            <w:bookmarkStart w:id="123" w:name="_Toc254970590"/>
            <w:r>
              <w:rPr>
                <w:rFonts w:hint="eastAsia" w:ascii="宋体" w:hAnsi="宋体" w:cs="仿宋_GB2312"/>
                <w:sz w:val="24"/>
              </w:rPr>
              <w:t>竞标响应</w:t>
            </w:r>
            <w:bookmarkEnd w:id="115"/>
            <w:bookmarkEnd w:id="116"/>
            <w:bookmarkEnd w:id="117"/>
            <w:bookmarkEnd w:id="118"/>
            <w:bookmarkEnd w:id="119"/>
            <w:bookmarkEnd w:id="120"/>
            <w:bookmarkEnd w:id="121"/>
            <w:bookmarkEnd w:id="122"/>
            <w:bookmarkEnd w:id="123"/>
          </w:p>
        </w:tc>
        <w:tc>
          <w:tcPr>
            <w:tcW w:w="1492" w:type="dxa"/>
            <w:vAlign w:val="center"/>
          </w:tcPr>
          <w:p w14:paraId="1790CFFB">
            <w:pPr>
              <w:pStyle w:val="18"/>
              <w:adjustRightInd w:val="0"/>
              <w:snapToGrid w:val="0"/>
              <w:spacing w:line="360" w:lineRule="auto"/>
              <w:ind w:left="0" w:leftChars="0"/>
              <w:jc w:val="center"/>
              <w:rPr>
                <w:rFonts w:ascii="宋体" w:hAnsi="宋体" w:cs="仿宋_GB2312"/>
                <w:sz w:val="24"/>
              </w:rPr>
            </w:pPr>
            <w:bookmarkStart w:id="124" w:name="_Toc297193188"/>
            <w:bookmarkStart w:id="125" w:name="_Toc301781614"/>
            <w:bookmarkStart w:id="126" w:name="_Toc173211903"/>
            <w:bookmarkStart w:id="127" w:name="_Toc173066404"/>
            <w:bookmarkStart w:id="128" w:name="_Toc383699909"/>
            <w:bookmarkStart w:id="129" w:name="_Toc295404984"/>
            <w:bookmarkStart w:id="130" w:name="_Toc373333692"/>
            <w:bookmarkStart w:id="131" w:name="_Toc254970591"/>
            <w:bookmarkStart w:id="132" w:name="_Toc254970732"/>
            <w:r>
              <w:rPr>
                <w:rFonts w:hint="eastAsia" w:ascii="宋体" w:hAnsi="宋体" w:cs="仿宋_GB2312"/>
                <w:sz w:val="24"/>
              </w:rPr>
              <w:t>偏离</w:t>
            </w:r>
            <w:bookmarkEnd w:id="124"/>
            <w:bookmarkEnd w:id="125"/>
            <w:bookmarkEnd w:id="126"/>
            <w:bookmarkEnd w:id="127"/>
            <w:bookmarkEnd w:id="128"/>
            <w:bookmarkEnd w:id="129"/>
            <w:bookmarkEnd w:id="130"/>
            <w:bookmarkEnd w:id="131"/>
            <w:bookmarkEnd w:id="132"/>
            <w:bookmarkStart w:id="133" w:name="_Toc173066405"/>
            <w:bookmarkStart w:id="134" w:name="_Toc373333693"/>
            <w:bookmarkStart w:id="135" w:name="_Toc254970592"/>
            <w:bookmarkStart w:id="136" w:name="_Toc295404985"/>
            <w:bookmarkStart w:id="137" w:name="_Toc254970733"/>
            <w:bookmarkStart w:id="138" w:name="_Toc297193189"/>
            <w:bookmarkStart w:id="139" w:name="_Toc301781615"/>
            <w:bookmarkStart w:id="140" w:name="_Toc173211904"/>
            <w:bookmarkStart w:id="141" w:name="_Toc383699910"/>
            <w:r>
              <w:rPr>
                <w:rFonts w:hint="eastAsia" w:ascii="宋体" w:hAnsi="宋体" w:cs="仿宋_GB2312"/>
                <w:sz w:val="24"/>
              </w:rPr>
              <w:t>说明</w:t>
            </w:r>
            <w:bookmarkEnd w:id="133"/>
            <w:bookmarkEnd w:id="134"/>
            <w:bookmarkEnd w:id="135"/>
            <w:bookmarkEnd w:id="136"/>
            <w:bookmarkEnd w:id="137"/>
            <w:bookmarkEnd w:id="138"/>
            <w:bookmarkEnd w:id="139"/>
            <w:bookmarkEnd w:id="140"/>
            <w:bookmarkEnd w:id="141"/>
          </w:p>
        </w:tc>
      </w:tr>
      <w:tr w14:paraId="3726CE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92" w:type="dxa"/>
            <w:vAlign w:val="center"/>
          </w:tcPr>
          <w:p w14:paraId="32B33EEB">
            <w:pPr>
              <w:pStyle w:val="18"/>
              <w:adjustRightInd w:val="0"/>
              <w:snapToGrid w:val="0"/>
              <w:spacing w:line="360" w:lineRule="auto"/>
              <w:ind w:left="0" w:leftChars="0"/>
              <w:jc w:val="center"/>
              <w:rPr>
                <w:rFonts w:ascii="宋体" w:hAnsi="宋体" w:cs="仿宋_GB2312"/>
                <w:sz w:val="24"/>
              </w:rPr>
            </w:pPr>
            <w:bookmarkStart w:id="142" w:name="_Toc373333694"/>
            <w:bookmarkStart w:id="143" w:name="_Toc297193190"/>
            <w:bookmarkStart w:id="144" w:name="_Toc173066406"/>
            <w:bookmarkStart w:id="145" w:name="_Toc173211905"/>
            <w:bookmarkStart w:id="146" w:name="_Toc254970734"/>
            <w:bookmarkStart w:id="147" w:name="_Toc254970593"/>
            <w:bookmarkStart w:id="148" w:name="_Toc295404986"/>
            <w:bookmarkStart w:id="149" w:name="_Toc383699911"/>
            <w:bookmarkStart w:id="150" w:name="_Toc301781616"/>
            <w:r>
              <w:rPr>
                <w:rFonts w:hint="eastAsia" w:ascii="宋体" w:hAnsi="宋体" w:cs="仿宋_GB2312"/>
                <w:sz w:val="24"/>
              </w:rPr>
              <w:t>1</w:t>
            </w:r>
            <w:bookmarkEnd w:id="142"/>
            <w:bookmarkEnd w:id="143"/>
            <w:bookmarkEnd w:id="144"/>
            <w:bookmarkEnd w:id="145"/>
            <w:bookmarkEnd w:id="146"/>
            <w:bookmarkEnd w:id="147"/>
            <w:bookmarkEnd w:id="148"/>
            <w:bookmarkEnd w:id="149"/>
            <w:bookmarkEnd w:id="150"/>
          </w:p>
        </w:tc>
        <w:tc>
          <w:tcPr>
            <w:tcW w:w="1459" w:type="dxa"/>
            <w:tcBorders>
              <w:right w:val="single" w:color="auto" w:sz="4" w:space="0"/>
            </w:tcBorders>
            <w:vAlign w:val="center"/>
          </w:tcPr>
          <w:p w14:paraId="4AF7E5BE">
            <w:pPr>
              <w:pStyle w:val="18"/>
              <w:adjustRightInd w:val="0"/>
              <w:snapToGrid w:val="0"/>
              <w:spacing w:line="360" w:lineRule="auto"/>
              <w:ind w:left="0" w:leftChars="0"/>
              <w:jc w:val="center"/>
              <w:rPr>
                <w:rFonts w:ascii="宋体" w:hAnsi="宋体" w:cs="仿宋_GB2312"/>
                <w:sz w:val="24"/>
              </w:rPr>
            </w:pPr>
          </w:p>
        </w:tc>
        <w:tc>
          <w:tcPr>
            <w:tcW w:w="2718" w:type="dxa"/>
            <w:tcBorders>
              <w:left w:val="single" w:color="auto" w:sz="4" w:space="0"/>
            </w:tcBorders>
            <w:vAlign w:val="center"/>
          </w:tcPr>
          <w:p w14:paraId="5FCC9024">
            <w:pPr>
              <w:pStyle w:val="18"/>
              <w:adjustRightInd w:val="0"/>
              <w:snapToGrid w:val="0"/>
              <w:spacing w:line="360" w:lineRule="auto"/>
              <w:ind w:left="0" w:leftChars="0"/>
              <w:jc w:val="center"/>
              <w:rPr>
                <w:rFonts w:ascii="宋体" w:hAnsi="宋体" w:cs="仿宋_GB2312"/>
                <w:sz w:val="24"/>
              </w:rPr>
            </w:pPr>
          </w:p>
        </w:tc>
        <w:tc>
          <w:tcPr>
            <w:tcW w:w="2734" w:type="dxa"/>
            <w:vAlign w:val="center"/>
          </w:tcPr>
          <w:p w14:paraId="688B74D4">
            <w:pPr>
              <w:pStyle w:val="18"/>
              <w:adjustRightInd w:val="0"/>
              <w:snapToGrid w:val="0"/>
              <w:spacing w:line="360" w:lineRule="auto"/>
              <w:ind w:left="0" w:leftChars="0"/>
              <w:jc w:val="center"/>
              <w:rPr>
                <w:rFonts w:ascii="宋体" w:hAnsi="宋体" w:cs="仿宋_GB2312"/>
                <w:sz w:val="24"/>
              </w:rPr>
            </w:pPr>
          </w:p>
        </w:tc>
        <w:tc>
          <w:tcPr>
            <w:tcW w:w="1492" w:type="dxa"/>
            <w:vAlign w:val="center"/>
          </w:tcPr>
          <w:p w14:paraId="57C0700D">
            <w:pPr>
              <w:pStyle w:val="18"/>
              <w:adjustRightInd w:val="0"/>
              <w:snapToGrid w:val="0"/>
              <w:spacing w:line="360" w:lineRule="auto"/>
              <w:ind w:left="0" w:leftChars="0"/>
              <w:jc w:val="center"/>
              <w:rPr>
                <w:rFonts w:ascii="宋体" w:hAnsi="宋体" w:cs="仿宋_GB2312"/>
                <w:sz w:val="24"/>
              </w:rPr>
            </w:pPr>
          </w:p>
        </w:tc>
      </w:tr>
      <w:tr w14:paraId="31A658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92" w:type="dxa"/>
            <w:vAlign w:val="center"/>
          </w:tcPr>
          <w:p w14:paraId="7BCB970A">
            <w:pPr>
              <w:pStyle w:val="18"/>
              <w:adjustRightInd w:val="0"/>
              <w:snapToGrid w:val="0"/>
              <w:spacing w:line="360" w:lineRule="auto"/>
              <w:ind w:left="0" w:leftChars="0"/>
              <w:jc w:val="center"/>
              <w:rPr>
                <w:rFonts w:ascii="宋体" w:hAnsi="宋体" w:cs="仿宋_GB2312"/>
                <w:sz w:val="24"/>
              </w:rPr>
            </w:pPr>
            <w:bookmarkStart w:id="151" w:name="_Toc373333695"/>
            <w:bookmarkStart w:id="152" w:name="_Toc301781617"/>
            <w:bookmarkStart w:id="153" w:name="_Toc173211906"/>
            <w:bookmarkStart w:id="154" w:name="_Toc297193191"/>
            <w:bookmarkStart w:id="155" w:name="_Toc254970594"/>
            <w:bookmarkStart w:id="156" w:name="_Toc173066407"/>
            <w:bookmarkStart w:id="157" w:name="_Toc254970735"/>
            <w:bookmarkStart w:id="158" w:name="_Toc383699912"/>
            <w:bookmarkStart w:id="159" w:name="_Toc295404987"/>
            <w:r>
              <w:rPr>
                <w:rFonts w:hint="eastAsia" w:ascii="宋体" w:hAnsi="宋体" w:cs="仿宋_GB2312"/>
                <w:sz w:val="24"/>
              </w:rPr>
              <w:t>2</w:t>
            </w:r>
            <w:bookmarkEnd w:id="151"/>
            <w:bookmarkEnd w:id="152"/>
            <w:bookmarkEnd w:id="153"/>
            <w:bookmarkEnd w:id="154"/>
            <w:bookmarkEnd w:id="155"/>
            <w:bookmarkEnd w:id="156"/>
            <w:bookmarkEnd w:id="157"/>
            <w:bookmarkEnd w:id="158"/>
            <w:bookmarkEnd w:id="159"/>
          </w:p>
        </w:tc>
        <w:tc>
          <w:tcPr>
            <w:tcW w:w="1459" w:type="dxa"/>
            <w:tcBorders>
              <w:right w:val="single" w:color="auto" w:sz="4" w:space="0"/>
            </w:tcBorders>
            <w:vAlign w:val="center"/>
          </w:tcPr>
          <w:p w14:paraId="6CE7F924">
            <w:pPr>
              <w:pStyle w:val="18"/>
              <w:adjustRightInd w:val="0"/>
              <w:snapToGrid w:val="0"/>
              <w:spacing w:line="360" w:lineRule="auto"/>
              <w:ind w:left="0" w:leftChars="0"/>
              <w:jc w:val="center"/>
              <w:rPr>
                <w:rFonts w:ascii="宋体" w:hAnsi="宋体" w:cs="仿宋_GB2312"/>
                <w:sz w:val="24"/>
              </w:rPr>
            </w:pPr>
          </w:p>
        </w:tc>
        <w:tc>
          <w:tcPr>
            <w:tcW w:w="2718" w:type="dxa"/>
            <w:tcBorders>
              <w:left w:val="single" w:color="auto" w:sz="4" w:space="0"/>
            </w:tcBorders>
            <w:vAlign w:val="center"/>
          </w:tcPr>
          <w:p w14:paraId="49FADA64">
            <w:pPr>
              <w:pStyle w:val="18"/>
              <w:adjustRightInd w:val="0"/>
              <w:snapToGrid w:val="0"/>
              <w:spacing w:line="360" w:lineRule="auto"/>
              <w:ind w:left="0" w:leftChars="0"/>
              <w:jc w:val="center"/>
              <w:rPr>
                <w:rFonts w:ascii="宋体" w:hAnsi="宋体" w:cs="仿宋_GB2312"/>
                <w:sz w:val="24"/>
              </w:rPr>
            </w:pPr>
          </w:p>
        </w:tc>
        <w:tc>
          <w:tcPr>
            <w:tcW w:w="2734" w:type="dxa"/>
            <w:vAlign w:val="center"/>
          </w:tcPr>
          <w:p w14:paraId="275DA7FE">
            <w:pPr>
              <w:pStyle w:val="18"/>
              <w:adjustRightInd w:val="0"/>
              <w:snapToGrid w:val="0"/>
              <w:spacing w:line="360" w:lineRule="auto"/>
              <w:ind w:left="0" w:leftChars="0"/>
              <w:jc w:val="center"/>
              <w:rPr>
                <w:rFonts w:ascii="宋体" w:hAnsi="宋体" w:cs="仿宋_GB2312"/>
                <w:sz w:val="24"/>
              </w:rPr>
            </w:pPr>
          </w:p>
        </w:tc>
        <w:tc>
          <w:tcPr>
            <w:tcW w:w="1492" w:type="dxa"/>
            <w:vAlign w:val="center"/>
          </w:tcPr>
          <w:p w14:paraId="13A2A0D5">
            <w:pPr>
              <w:pStyle w:val="18"/>
              <w:adjustRightInd w:val="0"/>
              <w:snapToGrid w:val="0"/>
              <w:spacing w:line="360" w:lineRule="auto"/>
              <w:ind w:left="0" w:leftChars="0"/>
              <w:jc w:val="center"/>
              <w:rPr>
                <w:rFonts w:ascii="宋体" w:hAnsi="宋体" w:cs="仿宋_GB2312"/>
                <w:sz w:val="24"/>
              </w:rPr>
            </w:pPr>
          </w:p>
        </w:tc>
      </w:tr>
      <w:tr w14:paraId="41EBAB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92" w:type="dxa"/>
            <w:vAlign w:val="center"/>
          </w:tcPr>
          <w:p w14:paraId="67F5C315">
            <w:pPr>
              <w:pStyle w:val="18"/>
              <w:adjustRightInd w:val="0"/>
              <w:snapToGrid w:val="0"/>
              <w:spacing w:line="360" w:lineRule="auto"/>
              <w:ind w:left="0" w:leftChars="0"/>
              <w:jc w:val="center"/>
              <w:rPr>
                <w:rFonts w:ascii="宋体" w:hAnsi="宋体" w:cs="仿宋_GB2312"/>
                <w:sz w:val="24"/>
              </w:rPr>
            </w:pPr>
            <w:bookmarkStart w:id="160" w:name="_Toc383699913"/>
            <w:bookmarkStart w:id="161" w:name="_Toc373333696"/>
            <w:bookmarkStart w:id="162" w:name="_Toc173211907"/>
            <w:bookmarkStart w:id="163" w:name="_Toc295404988"/>
            <w:bookmarkStart w:id="164" w:name="_Toc297193192"/>
            <w:bookmarkStart w:id="165" w:name="_Toc254970595"/>
            <w:bookmarkStart w:id="166" w:name="_Toc173066408"/>
            <w:bookmarkStart w:id="167" w:name="_Toc254970736"/>
            <w:bookmarkStart w:id="168" w:name="_Toc301781618"/>
            <w:r>
              <w:rPr>
                <w:rFonts w:hint="eastAsia" w:ascii="宋体" w:hAnsi="宋体" w:cs="仿宋_GB2312"/>
                <w:sz w:val="24"/>
              </w:rPr>
              <w:t>3</w:t>
            </w:r>
            <w:bookmarkEnd w:id="160"/>
            <w:bookmarkEnd w:id="161"/>
            <w:bookmarkEnd w:id="162"/>
            <w:bookmarkEnd w:id="163"/>
            <w:bookmarkEnd w:id="164"/>
            <w:bookmarkEnd w:id="165"/>
            <w:bookmarkEnd w:id="166"/>
            <w:bookmarkEnd w:id="167"/>
            <w:bookmarkEnd w:id="168"/>
          </w:p>
        </w:tc>
        <w:tc>
          <w:tcPr>
            <w:tcW w:w="1459" w:type="dxa"/>
            <w:tcBorders>
              <w:right w:val="single" w:color="auto" w:sz="4" w:space="0"/>
            </w:tcBorders>
            <w:vAlign w:val="center"/>
          </w:tcPr>
          <w:p w14:paraId="381934F2">
            <w:pPr>
              <w:pStyle w:val="18"/>
              <w:adjustRightInd w:val="0"/>
              <w:snapToGrid w:val="0"/>
              <w:spacing w:line="360" w:lineRule="auto"/>
              <w:ind w:left="0" w:leftChars="0"/>
              <w:jc w:val="center"/>
              <w:rPr>
                <w:rFonts w:ascii="宋体" w:hAnsi="宋体" w:cs="仿宋_GB2312"/>
                <w:sz w:val="24"/>
              </w:rPr>
            </w:pPr>
          </w:p>
        </w:tc>
        <w:tc>
          <w:tcPr>
            <w:tcW w:w="2718" w:type="dxa"/>
            <w:tcBorders>
              <w:left w:val="single" w:color="auto" w:sz="4" w:space="0"/>
            </w:tcBorders>
            <w:vAlign w:val="center"/>
          </w:tcPr>
          <w:p w14:paraId="619A3944">
            <w:pPr>
              <w:pStyle w:val="18"/>
              <w:adjustRightInd w:val="0"/>
              <w:snapToGrid w:val="0"/>
              <w:spacing w:line="360" w:lineRule="auto"/>
              <w:ind w:left="0" w:leftChars="0"/>
              <w:jc w:val="center"/>
              <w:rPr>
                <w:rFonts w:ascii="宋体" w:hAnsi="宋体" w:cs="仿宋_GB2312"/>
                <w:sz w:val="24"/>
              </w:rPr>
            </w:pPr>
          </w:p>
        </w:tc>
        <w:tc>
          <w:tcPr>
            <w:tcW w:w="2734" w:type="dxa"/>
            <w:vAlign w:val="center"/>
          </w:tcPr>
          <w:p w14:paraId="4D361825">
            <w:pPr>
              <w:pStyle w:val="18"/>
              <w:adjustRightInd w:val="0"/>
              <w:snapToGrid w:val="0"/>
              <w:spacing w:line="360" w:lineRule="auto"/>
              <w:ind w:left="0" w:leftChars="0"/>
              <w:jc w:val="center"/>
              <w:rPr>
                <w:rFonts w:ascii="宋体" w:hAnsi="宋体" w:cs="仿宋_GB2312"/>
                <w:sz w:val="24"/>
              </w:rPr>
            </w:pPr>
          </w:p>
        </w:tc>
        <w:tc>
          <w:tcPr>
            <w:tcW w:w="1492" w:type="dxa"/>
            <w:vAlign w:val="center"/>
          </w:tcPr>
          <w:p w14:paraId="068D1896">
            <w:pPr>
              <w:pStyle w:val="18"/>
              <w:adjustRightInd w:val="0"/>
              <w:snapToGrid w:val="0"/>
              <w:spacing w:line="360" w:lineRule="auto"/>
              <w:ind w:left="0" w:leftChars="0"/>
              <w:jc w:val="center"/>
              <w:rPr>
                <w:rFonts w:ascii="宋体" w:hAnsi="宋体" w:cs="仿宋_GB2312"/>
                <w:sz w:val="24"/>
              </w:rPr>
            </w:pPr>
          </w:p>
        </w:tc>
      </w:tr>
      <w:tr w14:paraId="52C2BB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92" w:type="dxa"/>
            <w:vAlign w:val="center"/>
          </w:tcPr>
          <w:p w14:paraId="6ADEE0B5">
            <w:pPr>
              <w:pStyle w:val="18"/>
              <w:adjustRightInd w:val="0"/>
              <w:snapToGrid w:val="0"/>
              <w:spacing w:line="360" w:lineRule="auto"/>
              <w:ind w:left="0" w:leftChars="0"/>
              <w:jc w:val="center"/>
              <w:rPr>
                <w:rFonts w:ascii="宋体" w:hAnsi="宋体" w:cs="仿宋_GB2312"/>
                <w:sz w:val="24"/>
              </w:rPr>
            </w:pPr>
            <w:bookmarkStart w:id="169" w:name="_Toc383699914"/>
            <w:bookmarkStart w:id="170" w:name="_Toc173066409"/>
            <w:bookmarkStart w:id="171" w:name="_Toc173211908"/>
            <w:bookmarkStart w:id="172" w:name="_Toc301781619"/>
            <w:bookmarkStart w:id="173" w:name="_Toc297193193"/>
            <w:bookmarkStart w:id="174" w:name="_Toc295404989"/>
            <w:bookmarkStart w:id="175" w:name="_Toc254970596"/>
            <w:bookmarkStart w:id="176" w:name="_Toc373333697"/>
            <w:bookmarkStart w:id="177" w:name="_Toc254970737"/>
            <w:r>
              <w:rPr>
                <w:rFonts w:hint="eastAsia" w:ascii="宋体" w:hAnsi="宋体" w:cs="仿宋_GB2312"/>
                <w:sz w:val="24"/>
              </w:rPr>
              <w:t>4</w:t>
            </w:r>
            <w:bookmarkEnd w:id="169"/>
            <w:bookmarkEnd w:id="170"/>
            <w:bookmarkEnd w:id="171"/>
            <w:bookmarkEnd w:id="172"/>
            <w:bookmarkEnd w:id="173"/>
            <w:bookmarkEnd w:id="174"/>
            <w:bookmarkEnd w:id="175"/>
            <w:bookmarkEnd w:id="176"/>
            <w:bookmarkEnd w:id="177"/>
          </w:p>
        </w:tc>
        <w:tc>
          <w:tcPr>
            <w:tcW w:w="1459" w:type="dxa"/>
            <w:tcBorders>
              <w:right w:val="single" w:color="auto" w:sz="4" w:space="0"/>
            </w:tcBorders>
            <w:vAlign w:val="center"/>
          </w:tcPr>
          <w:p w14:paraId="6E63ACE9">
            <w:pPr>
              <w:pStyle w:val="18"/>
              <w:adjustRightInd w:val="0"/>
              <w:snapToGrid w:val="0"/>
              <w:spacing w:line="360" w:lineRule="auto"/>
              <w:ind w:left="0" w:leftChars="0"/>
              <w:jc w:val="center"/>
              <w:rPr>
                <w:rFonts w:ascii="宋体" w:hAnsi="宋体" w:cs="仿宋_GB2312"/>
                <w:sz w:val="24"/>
              </w:rPr>
            </w:pPr>
          </w:p>
        </w:tc>
        <w:tc>
          <w:tcPr>
            <w:tcW w:w="2718" w:type="dxa"/>
            <w:tcBorders>
              <w:left w:val="single" w:color="auto" w:sz="4" w:space="0"/>
            </w:tcBorders>
            <w:vAlign w:val="center"/>
          </w:tcPr>
          <w:p w14:paraId="78DDA339">
            <w:pPr>
              <w:pStyle w:val="18"/>
              <w:adjustRightInd w:val="0"/>
              <w:snapToGrid w:val="0"/>
              <w:spacing w:line="360" w:lineRule="auto"/>
              <w:ind w:left="0" w:leftChars="0"/>
              <w:jc w:val="center"/>
              <w:rPr>
                <w:rFonts w:ascii="宋体" w:hAnsi="宋体" w:cs="仿宋_GB2312"/>
                <w:sz w:val="24"/>
              </w:rPr>
            </w:pPr>
          </w:p>
        </w:tc>
        <w:tc>
          <w:tcPr>
            <w:tcW w:w="2734" w:type="dxa"/>
            <w:vAlign w:val="center"/>
          </w:tcPr>
          <w:p w14:paraId="594CC346">
            <w:pPr>
              <w:pStyle w:val="18"/>
              <w:adjustRightInd w:val="0"/>
              <w:snapToGrid w:val="0"/>
              <w:spacing w:line="360" w:lineRule="auto"/>
              <w:ind w:left="0" w:leftChars="0"/>
              <w:jc w:val="center"/>
              <w:rPr>
                <w:rFonts w:ascii="宋体" w:hAnsi="宋体" w:cs="仿宋_GB2312"/>
                <w:sz w:val="24"/>
              </w:rPr>
            </w:pPr>
          </w:p>
        </w:tc>
        <w:tc>
          <w:tcPr>
            <w:tcW w:w="1492" w:type="dxa"/>
            <w:vAlign w:val="center"/>
          </w:tcPr>
          <w:p w14:paraId="11ED0BF0">
            <w:pPr>
              <w:pStyle w:val="18"/>
              <w:adjustRightInd w:val="0"/>
              <w:snapToGrid w:val="0"/>
              <w:spacing w:line="360" w:lineRule="auto"/>
              <w:ind w:left="0" w:leftChars="0"/>
              <w:jc w:val="center"/>
              <w:rPr>
                <w:rFonts w:ascii="宋体" w:hAnsi="宋体" w:cs="仿宋_GB2312"/>
                <w:sz w:val="24"/>
              </w:rPr>
            </w:pPr>
          </w:p>
        </w:tc>
      </w:tr>
      <w:tr w14:paraId="3C9D37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92" w:type="dxa"/>
            <w:vAlign w:val="center"/>
          </w:tcPr>
          <w:p w14:paraId="523AC22C">
            <w:pPr>
              <w:pStyle w:val="18"/>
              <w:adjustRightInd w:val="0"/>
              <w:snapToGrid w:val="0"/>
              <w:spacing w:line="360" w:lineRule="auto"/>
              <w:ind w:left="0" w:leftChars="0"/>
              <w:jc w:val="center"/>
              <w:rPr>
                <w:rFonts w:ascii="宋体" w:hAnsi="宋体" w:cs="仿宋_GB2312"/>
                <w:sz w:val="24"/>
              </w:rPr>
            </w:pPr>
            <w:bookmarkStart w:id="178" w:name="_Toc295404990"/>
            <w:bookmarkStart w:id="179" w:name="_Toc297193194"/>
            <w:bookmarkStart w:id="180" w:name="_Toc301781620"/>
            <w:bookmarkStart w:id="181" w:name="_Toc173211909"/>
            <w:bookmarkStart w:id="182" w:name="_Toc383699915"/>
            <w:bookmarkStart w:id="183" w:name="_Toc254970597"/>
            <w:bookmarkStart w:id="184" w:name="_Toc373333698"/>
            <w:bookmarkStart w:id="185" w:name="_Toc254970738"/>
            <w:bookmarkStart w:id="186" w:name="_Toc173066410"/>
            <w:r>
              <w:rPr>
                <w:rFonts w:hint="eastAsia" w:ascii="宋体" w:hAnsi="宋体" w:cs="仿宋_GB2312"/>
                <w:sz w:val="24"/>
              </w:rPr>
              <w:t>5</w:t>
            </w:r>
            <w:bookmarkEnd w:id="178"/>
            <w:bookmarkEnd w:id="179"/>
            <w:bookmarkEnd w:id="180"/>
            <w:bookmarkEnd w:id="181"/>
            <w:bookmarkEnd w:id="182"/>
            <w:bookmarkEnd w:id="183"/>
            <w:bookmarkEnd w:id="184"/>
            <w:bookmarkEnd w:id="185"/>
            <w:bookmarkEnd w:id="186"/>
          </w:p>
        </w:tc>
        <w:tc>
          <w:tcPr>
            <w:tcW w:w="1459" w:type="dxa"/>
            <w:tcBorders>
              <w:right w:val="single" w:color="auto" w:sz="4" w:space="0"/>
            </w:tcBorders>
            <w:vAlign w:val="center"/>
          </w:tcPr>
          <w:p w14:paraId="643239A8">
            <w:pPr>
              <w:pStyle w:val="18"/>
              <w:adjustRightInd w:val="0"/>
              <w:snapToGrid w:val="0"/>
              <w:spacing w:line="360" w:lineRule="auto"/>
              <w:ind w:left="0" w:leftChars="0"/>
              <w:jc w:val="center"/>
              <w:rPr>
                <w:rFonts w:ascii="宋体" w:hAnsi="宋体" w:cs="仿宋_GB2312"/>
                <w:sz w:val="24"/>
              </w:rPr>
            </w:pPr>
          </w:p>
        </w:tc>
        <w:tc>
          <w:tcPr>
            <w:tcW w:w="2718" w:type="dxa"/>
            <w:tcBorders>
              <w:left w:val="single" w:color="auto" w:sz="4" w:space="0"/>
            </w:tcBorders>
            <w:vAlign w:val="center"/>
          </w:tcPr>
          <w:p w14:paraId="297452D1">
            <w:pPr>
              <w:pStyle w:val="18"/>
              <w:adjustRightInd w:val="0"/>
              <w:snapToGrid w:val="0"/>
              <w:spacing w:line="360" w:lineRule="auto"/>
              <w:ind w:left="0" w:leftChars="0"/>
              <w:jc w:val="center"/>
              <w:rPr>
                <w:rFonts w:ascii="宋体" w:hAnsi="宋体" w:cs="仿宋_GB2312"/>
                <w:sz w:val="24"/>
              </w:rPr>
            </w:pPr>
          </w:p>
        </w:tc>
        <w:tc>
          <w:tcPr>
            <w:tcW w:w="2734" w:type="dxa"/>
            <w:vAlign w:val="center"/>
          </w:tcPr>
          <w:p w14:paraId="5D639585">
            <w:pPr>
              <w:pStyle w:val="18"/>
              <w:adjustRightInd w:val="0"/>
              <w:snapToGrid w:val="0"/>
              <w:spacing w:line="360" w:lineRule="auto"/>
              <w:ind w:left="0" w:leftChars="0"/>
              <w:jc w:val="center"/>
              <w:rPr>
                <w:rFonts w:ascii="宋体" w:hAnsi="宋体" w:cs="仿宋_GB2312"/>
                <w:sz w:val="24"/>
              </w:rPr>
            </w:pPr>
          </w:p>
        </w:tc>
        <w:tc>
          <w:tcPr>
            <w:tcW w:w="1492" w:type="dxa"/>
            <w:vAlign w:val="center"/>
          </w:tcPr>
          <w:p w14:paraId="120FDD6A">
            <w:pPr>
              <w:pStyle w:val="18"/>
              <w:adjustRightInd w:val="0"/>
              <w:snapToGrid w:val="0"/>
              <w:spacing w:line="360" w:lineRule="auto"/>
              <w:ind w:left="0" w:leftChars="0"/>
              <w:jc w:val="center"/>
              <w:rPr>
                <w:rFonts w:ascii="宋体" w:hAnsi="宋体" w:cs="仿宋_GB2312"/>
                <w:sz w:val="24"/>
              </w:rPr>
            </w:pPr>
          </w:p>
        </w:tc>
      </w:tr>
      <w:tr w14:paraId="3240E4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92" w:type="dxa"/>
            <w:vAlign w:val="center"/>
          </w:tcPr>
          <w:p w14:paraId="3069E5DF">
            <w:pPr>
              <w:pStyle w:val="18"/>
              <w:adjustRightInd w:val="0"/>
              <w:snapToGrid w:val="0"/>
              <w:spacing w:line="360" w:lineRule="auto"/>
              <w:ind w:left="0" w:leftChars="0"/>
              <w:jc w:val="center"/>
              <w:rPr>
                <w:rFonts w:ascii="宋体" w:hAnsi="宋体" w:cs="仿宋_GB2312"/>
                <w:sz w:val="24"/>
              </w:rPr>
            </w:pPr>
            <w:bookmarkStart w:id="187" w:name="_Toc295404991"/>
            <w:bookmarkStart w:id="188" w:name="_Toc254970743"/>
            <w:bookmarkStart w:id="189" w:name="_Toc173211914"/>
            <w:bookmarkStart w:id="190" w:name="_Toc373333699"/>
            <w:bookmarkStart w:id="191" w:name="_Toc301781621"/>
            <w:bookmarkStart w:id="192" w:name="_Toc297193195"/>
            <w:bookmarkStart w:id="193" w:name="_Toc254970602"/>
            <w:bookmarkStart w:id="194" w:name="_Toc173066415"/>
            <w:bookmarkStart w:id="195" w:name="_Toc383699916"/>
            <w:r>
              <w:rPr>
                <w:rFonts w:hint="eastAsia" w:ascii="宋体" w:hAnsi="宋体" w:cs="仿宋_GB2312"/>
                <w:sz w:val="24"/>
              </w:rPr>
              <w:t>…</w:t>
            </w:r>
            <w:bookmarkEnd w:id="187"/>
            <w:bookmarkEnd w:id="188"/>
            <w:bookmarkEnd w:id="189"/>
            <w:bookmarkEnd w:id="190"/>
            <w:bookmarkEnd w:id="191"/>
            <w:bookmarkEnd w:id="192"/>
            <w:bookmarkEnd w:id="193"/>
            <w:bookmarkEnd w:id="194"/>
            <w:bookmarkEnd w:id="195"/>
          </w:p>
        </w:tc>
        <w:tc>
          <w:tcPr>
            <w:tcW w:w="1459" w:type="dxa"/>
            <w:tcBorders>
              <w:right w:val="single" w:color="auto" w:sz="4" w:space="0"/>
            </w:tcBorders>
            <w:vAlign w:val="center"/>
          </w:tcPr>
          <w:p w14:paraId="51A9B6BD">
            <w:pPr>
              <w:pStyle w:val="18"/>
              <w:adjustRightInd w:val="0"/>
              <w:snapToGrid w:val="0"/>
              <w:spacing w:line="360" w:lineRule="auto"/>
              <w:ind w:left="0" w:leftChars="0"/>
              <w:jc w:val="center"/>
              <w:rPr>
                <w:rFonts w:ascii="宋体" w:hAnsi="宋体" w:cs="仿宋_GB2312"/>
                <w:sz w:val="24"/>
              </w:rPr>
            </w:pPr>
          </w:p>
        </w:tc>
        <w:tc>
          <w:tcPr>
            <w:tcW w:w="2718" w:type="dxa"/>
            <w:tcBorders>
              <w:left w:val="single" w:color="auto" w:sz="4" w:space="0"/>
            </w:tcBorders>
            <w:vAlign w:val="center"/>
          </w:tcPr>
          <w:p w14:paraId="1257B4CD">
            <w:pPr>
              <w:pStyle w:val="18"/>
              <w:adjustRightInd w:val="0"/>
              <w:snapToGrid w:val="0"/>
              <w:spacing w:line="360" w:lineRule="auto"/>
              <w:ind w:left="0" w:leftChars="0"/>
              <w:jc w:val="center"/>
              <w:rPr>
                <w:rFonts w:ascii="宋体" w:hAnsi="宋体" w:cs="仿宋_GB2312"/>
                <w:sz w:val="24"/>
              </w:rPr>
            </w:pPr>
          </w:p>
        </w:tc>
        <w:tc>
          <w:tcPr>
            <w:tcW w:w="2734" w:type="dxa"/>
            <w:vAlign w:val="center"/>
          </w:tcPr>
          <w:p w14:paraId="47DA0950">
            <w:pPr>
              <w:pStyle w:val="18"/>
              <w:adjustRightInd w:val="0"/>
              <w:snapToGrid w:val="0"/>
              <w:spacing w:line="360" w:lineRule="auto"/>
              <w:ind w:left="0" w:leftChars="0"/>
              <w:jc w:val="center"/>
              <w:rPr>
                <w:rFonts w:ascii="宋体" w:hAnsi="宋体" w:cs="仿宋_GB2312"/>
                <w:sz w:val="24"/>
              </w:rPr>
            </w:pPr>
          </w:p>
        </w:tc>
        <w:tc>
          <w:tcPr>
            <w:tcW w:w="1492" w:type="dxa"/>
            <w:tcBorders>
              <w:right w:val="single" w:color="auto" w:sz="4" w:space="0"/>
            </w:tcBorders>
            <w:vAlign w:val="center"/>
          </w:tcPr>
          <w:p w14:paraId="3DEC3111">
            <w:pPr>
              <w:pStyle w:val="18"/>
              <w:adjustRightInd w:val="0"/>
              <w:snapToGrid w:val="0"/>
              <w:spacing w:line="360" w:lineRule="auto"/>
              <w:ind w:left="0" w:leftChars="0"/>
              <w:jc w:val="center"/>
              <w:rPr>
                <w:rFonts w:ascii="宋体" w:hAnsi="宋体" w:cs="仿宋_GB2312"/>
                <w:sz w:val="24"/>
              </w:rPr>
            </w:pPr>
          </w:p>
        </w:tc>
      </w:tr>
    </w:tbl>
    <w:p w14:paraId="4C14974C">
      <w:pPr>
        <w:pStyle w:val="18"/>
        <w:spacing w:line="360" w:lineRule="auto"/>
        <w:rPr>
          <w:rFonts w:ascii="宋体" w:hAnsi="宋体" w:cs="仿宋_GB2312"/>
          <w:sz w:val="24"/>
        </w:rPr>
      </w:pPr>
      <w:r>
        <w:rPr>
          <w:rFonts w:hint="eastAsia" w:ascii="宋体" w:hAnsi="宋体" w:cs="仿宋_GB2312"/>
          <w:sz w:val="24"/>
        </w:rPr>
        <w:t>注：</w:t>
      </w:r>
    </w:p>
    <w:p w14:paraId="6CF7DC45">
      <w:pPr>
        <w:pStyle w:val="18"/>
        <w:spacing w:line="360" w:lineRule="auto"/>
        <w:rPr>
          <w:rFonts w:ascii="宋体" w:hAnsi="宋体" w:cs="仿宋_GB2312"/>
          <w:sz w:val="24"/>
        </w:rPr>
      </w:pPr>
      <w:r>
        <w:rPr>
          <w:rFonts w:hint="eastAsia" w:ascii="宋体" w:hAnsi="宋体" w:cs="仿宋_GB2312"/>
          <w:sz w:val="24"/>
        </w:rPr>
        <w:t>1. 说明：应对照磋商文件“第三章 采购需求”中的“项目要求及技术需求”逐条实质性响应，并作出偏离说明。</w:t>
      </w:r>
    </w:p>
    <w:p w14:paraId="5A9DD112">
      <w:pPr>
        <w:pStyle w:val="18"/>
        <w:spacing w:line="360" w:lineRule="auto"/>
        <w:rPr>
          <w:rFonts w:ascii="宋体" w:hAnsi="宋体" w:cs="仿宋_GB2312"/>
          <w:sz w:val="24"/>
        </w:rPr>
      </w:pPr>
      <w:r>
        <w:rPr>
          <w:rFonts w:hint="eastAsia" w:ascii="宋体" w:hAnsi="宋体" w:cs="仿宋_GB2312"/>
          <w:sz w:val="24"/>
        </w:rPr>
        <w:t>2.供应商应根据自身的承诺，对照磋商文件要求，在“偏离说明”中注明“正偏离”、“负偏离”或者“无偏离”。既不属于“正偏离”也不属于“负偏离”即为“无偏离”。</w:t>
      </w:r>
    </w:p>
    <w:p w14:paraId="1568840B">
      <w:pPr>
        <w:pStyle w:val="18"/>
        <w:spacing w:line="360" w:lineRule="auto"/>
        <w:rPr>
          <w:rFonts w:ascii="宋体" w:hAnsi="宋体" w:cs="仿宋_GB2312"/>
          <w:sz w:val="24"/>
        </w:rPr>
      </w:pPr>
    </w:p>
    <w:p w14:paraId="160968E6">
      <w:pPr>
        <w:pStyle w:val="21"/>
        <w:spacing w:line="360" w:lineRule="auto"/>
        <w:rPr>
          <w:rFonts w:hAnsi="宋体" w:cs="仿宋_GB2312"/>
          <w:sz w:val="24"/>
          <w:szCs w:val="24"/>
        </w:rPr>
      </w:pPr>
    </w:p>
    <w:p w14:paraId="6F0F1A72">
      <w:pPr>
        <w:snapToGrid w:val="0"/>
        <w:spacing w:before="50" w:after="50" w:line="360" w:lineRule="auto"/>
        <w:ind w:right="-817" w:rightChars="-389"/>
        <w:rPr>
          <w:rFonts w:ascii="宋体" w:hAnsi="宋体" w:cs="仿宋_GB2312"/>
          <w:sz w:val="24"/>
        </w:rPr>
      </w:pPr>
    </w:p>
    <w:p w14:paraId="73E67964">
      <w:pPr>
        <w:snapToGrid w:val="0"/>
        <w:spacing w:before="50" w:after="50" w:line="360" w:lineRule="auto"/>
        <w:ind w:right="-817" w:rightChars="-389" w:firstLine="960" w:firstLineChars="400"/>
        <w:rPr>
          <w:rFonts w:ascii="宋体" w:hAnsi="宋体" w:cs="仿宋_GB2312"/>
          <w:sz w:val="24"/>
        </w:rPr>
      </w:pPr>
      <w:r>
        <w:rPr>
          <w:rFonts w:hint="eastAsia" w:ascii="宋体" w:hAnsi="宋体" w:cs="仿宋_GB2312"/>
          <w:sz w:val="24"/>
        </w:rPr>
        <w:t xml:space="preserve">法定代表人或者委托代理人（签字）：                    </w:t>
      </w:r>
    </w:p>
    <w:p w14:paraId="3497F71D">
      <w:pPr>
        <w:snapToGrid w:val="0"/>
        <w:spacing w:before="50" w:after="50" w:line="360" w:lineRule="auto"/>
        <w:ind w:right="-817" w:rightChars="-389" w:firstLine="2640" w:firstLineChars="1100"/>
        <w:rPr>
          <w:rFonts w:ascii="宋体" w:hAnsi="宋体" w:cs="仿宋_GB2312"/>
          <w:sz w:val="24"/>
        </w:rPr>
      </w:pPr>
      <w:r>
        <w:rPr>
          <w:rFonts w:hint="eastAsia" w:ascii="宋体" w:hAnsi="宋体" w:cs="仿宋_GB2312"/>
          <w:sz w:val="24"/>
        </w:rPr>
        <w:t xml:space="preserve">供应商（盖公章）：      </w:t>
      </w:r>
    </w:p>
    <w:p w14:paraId="1083CF1A">
      <w:pPr>
        <w:snapToGrid w:val="0"/>
        <w:spacing w:before="50" w:after="50" w:line="360" w:lineRule="auto"/>
        <w:ind w:right="-817" w:rightChars="-389" w:firstLine="4080" w:firstLineChars="1700"/>
        <w:rPr>
          <w:rFonts w:ascii="宋体" w:hAnsi="宋体" w:cs="仿宋_GB2312"/>
          <w:sz w:val="24"/>
        </w:rPr>
      </w:pPr>
      <w:r>
        <w:rPr>
          <w:rFonts w:hint="eastAsia" w:ascii="宋体" w:hAnsi="宋体" w:cs="仿宋_GB2312"/>
          <w:sz w:val="24"/>
        </w:rPr>
        <w:t>日期：   年   月   日</w:t>
      </w:r>
    </w:p>
    <w:p w14:paraId="0CF57C6C">
      <w:pPr>
        <w:spacing w:line="300" w:lineRule="auto"/>
        <w:rPr>
          <w:rFonts w:ascii="宋体" w:hAnsi="宋体"/>
          <w:szCs w:val="21"/>
        </w:rPr>
      </w:pPr>
      <w:r>
        <w:rPr>
          <w:rFonts w:ascii="宋体" w:hAnsi="宋体" w:cs="仿宋_GB2312"/>
          <w:sz w:val="24"/>
        </w:rPr>
        <w:br w:type="page"/>
      </w:r>
      <w:r>
        <w:rPr>
          <w:rFonts w:hint="eastAsia" w:ascii="宋体" w:hAnsi="宋体"/>
          <w:b/>
          <w:bCs/>
          <w:sz w:val="24"/>
        </w:rPr>
        <w:t>其他文书、文件格式</w:t>
      </w:r>
    </w:p>
    <w:p w14:paraId="1714092D">
      <w:pPr>
        <w:spacing w:line="500" w:lineRule="exact"/>
        <w:rPr>
          <w:rFonts w:ascii="宋体" w:hAnsi="宋体" w:cs="宋体"/>
          <w:b/>
          <w:sz w:val="30"/>
          <w:szCs w:val="30"/>
          <w:lang w:val="zh-CN"/>
        </w:rPr>
      </w:pPr>
      <w:r>
        <w:rPr>
          <w:rFonts w:hint="eastAsia" w:ascii="宋体" w:hAnsi="宋体" w:cs="宋体"/>
          <w:b/>
          <w:sz w:val="30"/>
          <w:szCs w:val="30"/>
        </w:rPr>
        <w:t>1.</w:t>
      </w:r>
      <w:r>
        <w:rPr>
          <w:rFonts w:hint="eastAsia" w:ascii="宋体" w:hAnsi="宋体" w:cs="宋体"/>
          <w:b/>
          <w:sz w:val="30"/>
          <w:szCs w:val="30"/>
          <w:lang w:val="zh-CN"/>
        </w:rPr>
        <w:t>中小企业声明函的格式：</w:t>
      </w:r>
    </w:p>
    <w:p w14:paraId="122BE2F1">
      <w:pPr>
        <w:pStyle w:val="14"/>
        <w:rPr>
          <w:rFonts w:ascii="宋体" w:hAnsi="宋体" w:cs="宋体"/>
          <w:lang w:val="zh-CN"/>
        </w:rPr>
      </w:pPr>
    </w:p>
    <w:p w14:paraId="46196120">
      <w:pPr>
        <w:spacing w:line="520" w:lineRule="exact"/>
        <w:jc w:val="center"/>
        <w:rPr>
          <w:rFonts w:ascii="宋体" w:hAnsi="宋体" w:cs="宋体"/>
          <w:sz w:val="44"/>
          <w:szCs w:val="44"/>
        </w:rPr>
      </w:pPr>
      <w:bookmarkStart w:id="196" w:name="_Toc71365926"/>
      <w:r>
        <w:rPr>
          <w:rFonts w:hint="eastAsia" w:ascii="宋体" w:hAnsi="宋体" w:cs="宋体"/>
          <w:sz w:val="44"/>
          <w:szCs w:val="44"/>
        </w:rPr>
        <w:t>中小企业声明函（服务）</w:t>
      </w:r>
      <w:bookmarkEnd w:id="196"/>
    </w:p>
    <w:p w14:paraId="1B82C7BA">
      <w:pPr>
        <w:spacing w:before="2" w:line="500" w:lineRule="exact"/>
        <w:ind w:firstLine="708" w:firstLineChars="294"/>
        <w:rPr>
          <w:rFonts w:ascii="宋体" w:hAnsi="宋体" w:cs="宋体"/>
          <w:b/>
          <w:bCs/>
          <w:sz w:val="24"/>
        </w:rPr>
      </w:pPr>
    </w:p>
    <w:p w14:paraId="141B13D6">
      <w:pPr>
        <w:pStyle w:val="14"/>
        <w:spacing w:line="500" w:lineRule="exact"/>
        <w:ind w:right="142" w:firstLine="705" w:firstLineChars="294"/>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w:t>
      </w:r>
      <w:r>
        <w:rPr>
          <w:rFonts w:hint="eastAsia" w:ascii="宋体" w:hAnsi="宋体"/>
          <w:sz w:val="24"/>
        </w:rPr>
        <w:t>服务全部由符合政策要求的中小企业承接。相关企业（含联合体中的中小企业、签订分包意向协议的中小企业）的具体情况如下：</w:t>
      </w:r>
    </w:p>
    <w:p w14:paraId="7100560A">
      <w:pPr>
        <w:tabs>
          <w:tab w:val="left" w:pos="1384"/>
          <w:tab w:val="left" w:pos="4562"/>
          <w:tab w:val="left" w:pos="6803"/>
        </w:tabs>
        <w:spacing w:before="13" w:line="500" w:lineRule="exact"/>
        <w:ind w:right="142" w:firstLine="772" w:firstLineChars="322"/>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ascii="宋体" w:hAnsi="宋体"/>
          <w:kern w:val="24"/>
          <w:sz w:val="24"/>
        </w:rPr>
        <w:t>制造商</w:t>
      </w:r>
      <w:r>
        <w:rPr>
          <w:rFonts w:hint="eastAsia" w:ascii="宋体" w:hAnsi="宋体"/>
          <w:kern w:val="24"/>
          <w:sz w:val="24"/>
        </w:rPr>
        <w:t>/承接企业</w:t>
      </w:r>
      <w:r>
        <w:rPr>
          <w:rFonts w:hint="eastAsia" w:ascii="宋体" w:hAnsi="宋体"/>
          <w:sz w:val="24"/>
        </w:rPr>
        <w:t>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6DC01962">
      <w:pPr>
        <w:tabs>
          <w:tab w:val="left" w:pos="1065"/>
          <w:tab w:val="left" w:pos="4262"/>
          <w:tab w:val="left" w:pos="6477"/>
        </w:tabs>
        <w:spacing w:before="20" w:line="500" w:lineRule="exact"/>
        <w:ind w:right="84" w:firstLine="772" w:firstLineChars="322"/>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ascii="宋体" w:hAnsi="宋体"/>
          <w:kern w:val="24"/>
          <w:sz w:val="24"/>
        </w:rPr>
        <w:t>制造商</w:t>
      </w:r>
      <w:r>
        <w:rPr>
          <w:rFonts w:hint="eastAsia" w:ascii="宋体" w:hAnsi="宋体"/>
          <w:kern w:val="24"/>
          <w:sz w:val="24"/>
        </w:rPr>
        <w:t>/承接企业</w:t>
      </w:r>
      <w:r>
        <w:rPr>
          <w:rFonts w:hint="eastAsia" w:ascii="宋体" w:hAnsi="宋体"/>
          <w:sz w:val="24"/>
        </w:rPr>
        <w:t>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7EFA439C">
      <w:pPr>
        <w:pStyle w:val="14"/>
        <w:spacing w:before="34" w:line="500" w:lineRule="exact"/>
        <w:ind w:right="142" w:firstLine="705" w:firstLineChars="294"/>
        <w:rPr>
          <w:rFonts w:ascii="宋体" w:hAnsi="宋体"/>
          <w:sz w:val="24"/>
        </w:rPr>
      </w:pPr>
      <w:r>
        <w:rPr>
          <w:rFonts w:ascii="宋体" w:hAnsi="宋体"/>
          <w:sz w:val="24"/>
        </w:rPr>
        <w:t xml:space="preserve">…… </w:t>
      </w:r>
    </w:p>
    <w:p w14:paraId="085E9CC1">
      <w:pPr>
        <w:pStyle w:val="14"/>
        <w:spacing w:before="34" w:line="500" w:lineRule="exact"/>
        <w:ind w:right="142" w:firstLine="705" w:firstLineChars="294"/>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48C584EC">
      <w:pPr>
        <w:pStyle w:val="14"/>
        <w:spacing w:before="25" w:line="500" w:lineRule="exact"/>
        <w:ind w:right="142" w:firstLine="705" w:firstLineChars="294"/>
        <w:rPr>
          <w:rFonts w:ascii="宋体" w:hAnsi="宋体"/>
          <w:sz w:val="24"/>
        </w:rPr>
      </w:pPr>
      <w:r>
        <w:rPr>
          <w:rFonts w:ascii="宋体" w:hAnsi="宋体"/>
          <w:sz w:val="24"/>
        </w:rPr>
        <w:t>本企业对上述声明内容的真实性负责。如有虚假，将依法承担相应责任。</w:t>
      </w:r>
    </w:p>
    <w:p w14:paraId="794EEA08">
      <w:pPr>
        <w:pStyle w:val="14"/>
        <w:spacing w:before="56" w:line="500" w:lineRule="exact"/>
        <w:ind w:right="1808" w:firstLine="705" w:firstLineChars="294"/>
        <w:rPr>
          <w:rFonts w:ascii="宋体" w:hAnsi="宋体"/>
          <w:sz w:val="24"/>
        </w:rPr>
      </w:pPr>
    </w:p>
    <w:p w14:paraId="6DD6015B">
      <w:pPr>
        <w:pStyle w:val="14"/>
        <w:spacing w:before="56" w:line="500" w:lineRule="exact"/>
        <w:ind w:right="650" w:firstLine="5625" w:firstLineChars="2344"/>
        <w:rPr>
          <w:rFonts w:ascii="宋体" w:hAnsi="宋体"/>
          <w:sz w:val="24"/>
        </w:rPr>
      </w:pPr>
      <w:r>
        <w:rPr>
          <w:rFonts w:ascii="宋体" w:hAnsi="宋体"/>
          <w:sz w:val="24"/>
        </w:rPr>
        <w:t xml:space="preserve">企业名称（章）： </w:t>
      </w:r>
    </w:p>
    <w:p w14:paraId="434C718E">
      <w:pPr>
        <w:pStyle w:val="14"/>
        <w:spacing w:before="56" w:line="500" w:lineRule="exact"/>
        <w:ind w:right="1808" w:firstLine="5625" w:firstLineChars="2344"/>
        <w:rPr>
          <w:rFonts w:ascii="宋体" w:hAnsi="宋体"/>
          <w:sz w:val="24"/>
        </w:rPr>
      </w:pPr>
      <w:r>
        <w:rPr>
          <w:rFonts w:ascii="宋体" w:hAnsi="宋体"/>
          <w:sz w:val="24"/>
        </w:rPr>
        <w:t>日 期：</w:t>
      </w:r>
    </w:p>
    <w:p w14:paraId="113EFC27">
      <w:pPr>
        <w:spacing w:line="520" w:lineRule="exact"/>
        <w:rPr>
          <w:rFonts w:ascii="宋体" w:hAnsi="宋体" w:cs="宋体"/>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3DB6B81">
      <w:pPr>
        <w:spacing w:line="520" w:lineRule="exact"/>
        <w:jc w:val="center"/>
        <w:rPr>
          <w:rFonts w:ascii="宋体" w:hAnsi="宋体" w:cs="宋体"/>
          <w:sz w:val="44"/>
          <w:szCs w:val="44"/>
        </w:rPr>
      </w:pPr>
    </w:p>
    <w:p w14:paraId="5DE97918">
      <w:pPr>
        <w:numPr>
          <w:ilvl w:val="255"/>
          <w:numId w:val="0"/>
        </w:numPr>
        <w:spacing w:line="520" w:lineRule="exact"/>
        <w:rPr>
          <w:rFonts w:hAnsi="宋体" w:cs="宋体"/>
          <w:b/>
          <w:sz w:val="28"/>
          <w:szCs w:val="28"/>
        </w:rPr>
      </w:pPr>
      <w:r>
        <w:rPr>
          <w:rFonts w:hint="eastAsia" w:ascii="宋体" w:hAnsi="宋体" w:cs="宋体"/>
          <w:b/>
          <w:sz w:val="28"/>
          <w:szCs w:val="28"/>
        </w:rPr>
        <w:t>2.</w:t>
      </w:r>
      <w:r>
        <w:rPr>
          <w:rFonts w:hint="eastAsia" w:hAnsi="宋体" w:cs="宋体"/>
          <w:b/>
          <w:sz w:val="28"/>
          <w:szCs w:val="28"/>
        </w:rPr>
        <w:t>残疾人福利性单位声明函的格式：</w:t>
      </w:r>
    </w:p>
    <w:p w14:paraId="44022FAE">
      <w:pPr>
        <w:spacing w:line="520" w:lineRule="exact"/>
        <w:jc w:val="center"/>
        <w:rPr>
          <w:rFonts w:ascii="宋体" w:hAnsi="宋体" w:cs="宋体"/>
          <w:sz w:val="44"/>
          <w:szCs w:val="44"/>
        </w:rPr>
      </w:pPr>
    </w:p>
    <w:p w14:paraId="7C435AFE">
      <w:pPr>
        <w:spacing w:line="520" w:lineRule="exact"/>
        <w:jc w:val="center"/>
        <w:rPr>
          <w:rFonts w:ascii="宋体" w:hAnsi="宋体" w:cs="宋体"/>
          <w:sz w:val="44"/>
          <w:szCs w:val="44"/>
        </w:rPr>
      </w:pPr>
    </w:p>
    <w:p w14:paraId="08B6531C">
      <w:pPr>
        <w:spacing w:line="520" w:lineRule="exact"/>
        <w:jc w:val="center"/>
        <w:rPr>
          <w:rFonts w:ascii="宋体" w:hAnsi="宋体" w:cs="宋体"/>
          <w:sz w:val="32"/>
          <w:szCs w:val="32"/>
        </w:rPr>
      </w:pPr>
      <w:r>
        <w:rPr>
          <w:rFonts w:hint="eastAsia" w:ascii="宋体" w:hAnsi="宋体" w:cs="宋体"/>
          <w:sz w:val="44"/>
          <w:szCs w:val="44"/>
        </w:rPr>
        <w:t>残疾人福利性单位声明函</w:t>
      </w:r>
    </w:p>
    <w:p w14:paraId="2E20D4D8">
      <w:pPr>
        <w:spacing w:line="520" w:lineRule="exact"/>
        <w:rPr>
          <w:rFonts w:ascii="宋体" w:hAnsi="宋体" w:cs="宋体"/>
          <w:sz w:val="32"/>
          <w:szCs w:val="32"/>
        </w:rPr>
      </w:pPr>
    </w:p>
    <w:p w14:paraId="2E4ED146">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0ABD38C0">
      <w:pPr>
        <w:spacing w:line="360" w:lineRule="auto"/>
        <w:ind w:firstLine="480" w:firstLineChars="200"/>
        <w:contextualSpacing/>
        <w:rPr>
          <w:rFonts w:ascii="宋体" w:hAnsi="宋体" w:cs="宋体"/>
          <w:sz w:val="24"/>
        </w:rPr>
      </w:pPr>
      <w:r>
        <w:rPr>
          <w:rFonts w:hint="eastAsia" w:ascii="宋体" w:hAnsi="宋体" w:cs="宋体"/>
          <w:sz w:val="24"/>
        </w:rPr>
        <w:t>本单位对上述声明的真实性负责。如有虚假，将依法承担相应责任。</w:t>
      </w:r>
    </w:p>
    <w:p w14:paraId="1202F15B">
      <w:pPr>
        <w:spacing w:line="360" w:lineRule="auto"/>
        <w:contextualSpacing/>
        <w:rPr>
          <w:rFonts w:ascii="宋体" w:hAnsi="宋体" w:cs="宋体"/>
          <w:sz w:val="24"/>
        </w:rPr>
      </w:pPr>
    </w:p>
    <w:p w14:paraId="51BC7F5E">
      <w:pPr>
        <w:spacing w:line="360" w:lineRule="auto"/>
        <w:contextualSpacing/>
        <w:rPr>
          <w:rFonts w:ascii="宋体" w:hAnsi="宋体" w:cs="宋体"/>
          <w:sz w:val="24"/>
        </w:rPr>
      </w:pPr>
    </w:p>
    <w:p w14:paraId="2C7D8FA4">
      <w:pPr>
        <w:spacing w:line="360" w:lineRule="auto"/>
        <w:contextualSpacing/>
        <w:rPr>
          <w:rFonts w:ascii="宋体" w:hAnsi="宋体" w:cs="宋体"/>
          <w:sz w:val="24"/>
        </w:rPr>
      </w:pPr>
    </w:p>
    <w:p w14:paraId="0169D413">
      <w:pPr>
        <w:spacing w:line="360" w:lineRule="auto"/>
        <w:ind w:firstLine="2400" w:firstLineChars="1000"/>
        <w:contextualSpacing/>
        <w:rPr>
          <w:rFonts w:ascii="宋体" w:hAnsi="宋体" w:cs="宋体"/>
          <w:sz w:val="24"/>
        </w:rPr>
      </w:pPr>
      <w:r>
        <w:rPr>
          <w:rFonts w:hint="eastAsia" w:ascii="宋体" w:hAnsi="宋体" w:cs="宋体"/>
          <w:sz w:val="24"/>
        </w:rPr>
        <w:t>供应商名称（盖公章）：</w:t>
      </w:r>
    </w:p>
    <w:p w14:paraId="66692C84">
      <w:pPr>
        <w:spacing w:line="360" w:lineRule="auto"/>
        <w:ind w:firstLine="4320" w:firstLineChars="1800"/>
        <w:contextualSpacing/>
        <w:rPr>
          <w:rFonts w:ascii="宋体" w:hAnsi="宋体" w:cs="宋体"/>
          <w:sz w:val="24"/>
        </w:rPr>
      </w:pPr>
      <w:r>
        <w:rPr>
          <w:rFonts w:hint="eastAsia" w:ascii="宋体" w:hAnsi="宋体" w:cs="宋体"/>
          <w:sz w:val="24"/>
        </w:rPr>
        <w:t>日  期：     年   月   日</w:t>
      </w:r>
    </w:p>
    <w:p w14:paraId="110F8D5C">
      <w:pPr>
        <w:spacing w:line="360" w:lineRule="auto"/>
        <w:contextualSpacing/>
        <w:rPr>
          <w:rFonts w:ascii="宋体" w:hAnsi="宋体" w:cs="宋体"/>
          <w:sz w:val="24"/>
        </w:rPr>
      </w:pPr>
    </w:p>
    <w:p w14:paraId="4B9706D8">
      <w:pPr>
        <w:spacing w:line="360" w:lineRule="auto"/>
        <w:contextualSpacing/>
        <w:rPr>
          <w:rFonts w:ascii="宋体" w:hAnsi="宋体" w:cs="宋体"/>
          <w:sz w:val="24"/>
        </w:rPr>
      </w:pPr>
    </w:p>
    <w:p w14:paraId="50EED78A">
      <w:pPr>
        <w:spacing w:line="360" w:lineRule="auto"/>
        <w:contextualSpacing/>
        <w:rPr>
          <w:rFonts w:ascii="宋体" w:hAnsi="宋体" w:cs="宋体"/>
          <w:sz w:val="24"/>
        </w:rPr>
      </w:pPr>
    </w:p>
    <w:p w14:paraId="70E0582E">
      <w:pPr>
        <w:overflowPunct w:val="0"/>
        <w:spacing w:line="520" w:lineRule="exact"/>
        <w:rPr>
          <w:rFonts w:ascii="宋体" w:hAnsi="宋体" w:cs="宋体"/>
          <w:b/>
          <w:kern w:val="0"/>
          <w:sz w:val="30"/>
          <w:szCs w:val="30"/>
        </w:rPr>
      </w:pPr>
      <w:r>
        <w:rPr>
          <w:rFonts w:hint="eastAsia" w:ascii="宋体" w:hAnsi="宋体" w:cs="宋体"/>
          <w:sz w:val="24"/>
        </w:rPr>
        <w:t>注：请根据自己的真实情况出具《残疾人福利性单位声明函》。依法享受中小企业优惠政策的，采购人或者采购代理机构在公告成交结果时，同时公告其《残疾人福利性单位声明函》，接受社会监督。</w:t>
      </w:r>
    </w:p>
    <w:p w14:paraId="072EFF85">
      <w:pPr>
        <w:rPr>
          <w:rFonts w:ascii="宋体" w:hAnsi="宋体"/>
          <w:b/>
          <w:bCs/>
          <w:sz w:val="32"/>
          <w:szCs w:val="32"/>
        </w:rPr>
      </w:pPr>
      <w:r>
        <w:rPr>
          <w:rFonts w:hint="eastAsia" w:ascii="宋体" w:hAnsi="宋体"/>
          <w:b/>
          <w:bCs/>
          <w:sz w:val="32"/>
          <w:szCs w:val="32"/>
        </w:rPr>
        <w:br w:type="page"/>
      </w:r>
    </w:p>
    <w:p w14:paraId="11D384D7">
      <w:pPr>
        <w:spacing w:line="360" w:lineRule="auto"/>
        <w:jc w:val="center"/>
        <w:rPr>
          <w:rFonts w:ascii="宋体" w:hAnsi="宋体"/>
          <w:b/>
          <w:bCs/>
          <w:sz w:val="32"/>
          <w:szCs w:val="32"/>
        </w:rPr>
      </w:pPr>
      <w:r>
        <w:rPr>
          <w:rFonts w:hint="eastAsia" w:ascii="宋体" w:hAnsi="宋体"/>
          <w:b/>
          <w:bCs/>
          <w:sz w:val="32"/>
          <w:szCs w:val="32"/>
        </w:rPr>
        <w:t>3.质疑函（格式）</w:t>
      </w:r>
    </w:p>
    <w:p w14:paraId="74228AA5">
      <w:pPr>
        <w:pStyle w:val="21"/>
        <w:snapToGrid w:val="0"/>
        <w:spacing w:line="360" w:lineRule="auto"/>
        <w:ind w:firstLine="422" w:firstLineChars="200"/>
        <w:rPr>
          <w:rFonts w:hAnsi="宋体"/>
          <w:b/>
          <w:bCs/>
          <w:sz w:val="21"/>
        </w:rPr>
      </w:pPr>
      <w:r>
        <w:rPr>
          <w:rFonts w:hint="eastAsia" w:hAnsi="宋体"/>
          <w:b/>
          <w:bCs/>
          <w:sz w:val="21"/>
        </w:rPr>
        <w:t>一、质疑供应商基本信息：</w:t>
      </w:r>
    </w:p>
    <w:p w14:paraId="089E4C3F">
      <w:pPr>
        <w:pStyle w:val="21"/>
        <w:snapToGrid w:val="0"/>
        <w:spacing w:line="360" w:lineRule="auto"/>
        <w:ind w:firstLine="420" w:firstLineChars="200"/>
        <w:rPr>
          <w:rFonts w:hAnsi="宋体"/>
          <w:bCs/>
          <w:sz w:val="21"/>
          <w:u w:val="single"/>
        </w:rPr>
      </w:pPr>
      <w:r>
        <w:rPr>
          <w:rFonts w:hint="eastAsia" w:hAnsi="宋体"/>
          <w:bCs/>
          <w:sz w:val="21"/>
        </w:rPr>
        <w:t>质疑供应商：</w:t>
      </w:r>
      <w:r>
        <w:rPr>
          <w:rFonts w:hint="eastAsia" w:hAnsi="宋体"/>
          <w:bCs/>
          <w:sz w:val="21"/>
          <w:u w:val="single"/>
        </w:rPr>
        <w:t xml:space="preserve">                                       </w:t>
      </w:r>
      <w:r>
        <w:rPr>
          <w:rFonts w:hint="eastAsia" w:hAnsi="宋体"/>
          <w:bCs/>
          <w:sz w:val="21"/>
        </w:rPr>
        <w:t xml:space="preserve">                 </w:t>
      </w:r>
    </w:p>
    <w:p w14:paraId="70975C45">
      <w:pPr>
        <w:pStyle w:val="21"/>
        <w:snapToGrid w:val="0"/>
        <w:spacing w:line="360" w:lineRule="auto"/>
        <w:ind w:firstLine="420" w:firstLineChars="200"/>
        <w:rPr>
          <w:rFonts w:hAnsi="宋体"/>
          <w:bCs/>
          <w:sz w:val="21"/>
        </w:rPr>
      </w:pPr>
      <w:r>
        <w:rPr>
          <w:rFonts w:hAnsi="宋体"/>
          <w:bCs/>
          <w:sz w:val="21"/>
        </w:rPr>
        <w:t>地址</w:t>
      </w:r>
      <w:r>
        <w:rPr>
          <w:rFonts w:hint="eastAsia" w:hAnsi="宋体"/>
          <w:bCs/>
          <w:sz w:val="21"/>
        </w:rPr>
        <w:t>：</w:t>
      </w:r>
      <w:r>
        <w:rPr>
          <w:rFonts w:hint="eastAsia" w:hAnsi="宋体"/>
          <w:bCs/>
          <w:sz w:val="21"/>
          <w:u w:val="single"/>
        </w:rPr>
        <w:t xml:space="preserve">                                          </w:t>
      </w:r>
      <w:r>
        <w:rPr>
          <w:rFonts w:hAnsi="宋体"/>
          <w:bCs/>
          <w:sz w:val="21"/>
        </w:rPr>
        <w:t>邮编</w:t>
      </w:r>
      <w:r>
        <w:rPr>
          <w:rFonts w:hint="eastAsia" w:hAnsi="宋体"/>
          <w:bCs/>
          <w:sz w:val="21"/>
        </w:rPr>
        <w:t>：</w:t>
      </w:r>
      <w:r>
        <w:rPr>
          <w:rFonts w:hint="eastAsia" w:hAnsi="宋体"/>
          <w:bCs/>
          <w:sz w:val="21"/>
          <w:u w:val="single"/>
        </w:rPr>
        <w:t xml:space="preserve">                  </w:t>
      </w:r>
      <w:r>
        <w:rPr>
          <w:rFonts w:hint="eastAsia" w:hAnsi="宋体"/>
          <w:bCs/>
          <w:sz w:val="21"/>
        </w:rPr>
        <w:t xml:space="preserve">                 </w:t>
      </w:r>
    </w:p>
    <w:p w14:paraId="4279CBE8">
      <w:pPr>
        <w:pStyle w:val="21"/>
        <w:snapToGrid w:val="0"/>
        <w:spacing w:line="360" w:lineRule="auto"/>
        <w:ind w:firstLine="420" w:firstLineChars="200"/>
        <w:rPr>
          <w:rFonts w:hAnsi="宋体"/>
          <w:bCs/>
          <w:sz w:val="21"/>
        </w:rPr>
      </w:pPr>
      <w:r>
        <w:rPr>
          <w:rFonts w:hAnsi="宋体"/>
          <w:bCs/>
          <w:sz w:val="21"/>
        </w:rPr>
        <w:t>联系人</w:t>
      </w:r>
      <w:r>
        <w:rPr>
          <w:rFonts w:hint="eastAsia" w:hAnsi="宋体"/>
          <w:bCs/>
          <w:sz w:val="21"/>
        </w:rPr>
        <w:t>：</w:t>
      </w:r>
      <w:r>
        <w:rPr>
          <w:rFonts w:hint="eastAsia" w:hAnsi="宋体"/>
          <w:bCs/>
          <w:sz w:val="21"/>
          <w:u w:val="single"/>
        </w:rPr>
        <w:t xml:space="preserve">                     </w:t>
      </w:r>
      <w:r>
        <w:rPr>
          <w:rFonts w:hAnsi="宋体"/>
          <w:bCs/>
          <w:sz w:val="21"/>
        </w:rPr>
        <w:t>联系电话</w:t>
      </w:r>
      <w:r>
        <w:rPr>
          <w:rFonts w:hint="eastAsia" w:hAnsi="宋体"/>
          <w:bCs/>
          <w:sz w:val="21"/>
        </w:rPr>
        <w:t>：</w:t>
      </w:r>
      <w:r>
        <w:rPr>
          <w:rFonts w:hint="eastAsia" w:hAnsi="宋体"/>
          <w:bCs/>
          <w:sz w:val="21"/>
          <w:u w:val="single"/>
        </w:rPr>
        <w:t xml:space="preserve">                 </w:t>
      </w:r>
    </w:p>
    <w:p w14:paraId="331F3210">
      <w:pPr>
        <w:pStyle w:val="21"/>
        <w:snapToGrid w:val="0"/>
        <w:spacing w:line="360" w:lineRule="auto"/>
        <w:ind w:firstLine="420" w:firstLineChars="200"/>
        <w:rPr>
          <w:rFonts w:hAnsi="宋体"/>
          <w:bCs/>
          <w:sz w:val="21"/>
        </w:rPr>
      </w:pPr>
      <w:r>
        <w:rPr>
          <w:rFonts w:hint="eastAsia" w:hAnsi="宋体"/>
          <w:bCs/>
          <w:sz w:val="21"/>
        </w:rPr>
        <w:t>授权代表：</w:t>
      </w:r>
      <w:r>
        <w:rPr>
          <w:rFonts w:hint="eastAsia" w:hAnsi="宋体"/>
          <w:bCs/>
          <w:sz w:val="21"/>
          <w:u w:val="single"/>
        </w:rPr>
        <w:t xml:space="preserve">                      </w:t>
      </w:r>
    </w:p>
    <w:p w14:paraId="710231AD">
      <w:pPr>
        <w:pStyle w:val="21"/>
        <w:snapToGrid w:val="0"/>
        <w:spacing w:line="360" w:lineRule="auto"/>
        <w:ind w:firstLine="420" w:firstLineChars="200"/>
        <w:rPr>
          <w:rFonts w:hAnsi="宋体"/>
          <w:bCs/>
          <w:sz w:val="21"/>
          <w:u w:val="single"/>
        </w:rPr>
      </w:pPr>
      <w:r>
        <w:rPr>
          <w:rFonts w:hAnsi="宋体"/>
          <w:bCs/>
          <w:sz w:val="21"/>
        </w:rPr>
        <w:t>联系</w:t>
      </w:r>
      <w:r>
        <w:rPr>
          <w:rFonts w:hint="eastAsia" w:hAnsi="宋体"/>
          <w:bCs/>
          <w:sz w:val="21"/>
        </w:rPr>
        <w:t>电话：</w:t>
      </w:r>
      <w:r>
        <w:rPr>
          <w:rFonts w:hint="eastAsia" w:hAnsi="宋体"/>
          <w:bCs/>
          <w:sz w:val="21"/>
          <w:u w:val="single"/>
        </w:rPr>
        <w:t xml:space="preserve">                      </w:t>
      </w:r>
    </w:p>
    <w:p w14:paraId="08286651">
      <w:pPr>
        <w:pStyle w:val="21"/>
        <w:snapToGrid w:val="0"/>
        <w:spacing w:line="360" w:lineRule="auto"/>
        <w:ind w:firstLine="420" w:firstLineChars="200"/>
        <w:rPr>
          <w:rFonts w:hAnsi="宋体"/>
          <w:bCs/>
          <w:sz w:val="21"/>
        </w:rPr>
      </w:pPr>
      <w:r>
        <w:rPr>
          <w:rFonts w:hAnsi="宋体"/>
          <w:bCs/>
          <w:sz w:val="21"/>
        </w:rPr>
        <w:t>地址</w:t>
      </w:r>
      <w:r>
        <w:rPr>
          <w:rFonts w:hint="eastAsia" w:hAnsi="宋体"/>
          <w:bCs/>
          <w:sz w:val="21"/>
        </w:rPr>
        <w:t>：</w:t>
      </w:r>
      <w:r>
        <w:rPr>
          <w:rFonts w:hint="eastAsia" w:hAnsi="宋体"/>
          <w:bCs/>
          <w:sz w:val="21"/>
          <w:u w:val="single"/>
        </w:rPr>
        <w:t xml:space="preserve">                 </w:t>
      </w:r>
      <w:r>
        <w:rPr>
          <w:rFonts w:hAnsi="宋体"/>
          <w:bCs/>
          <w:sz w:val="21"/>
        </w:rPr>
        <w:t>邮编</w:t>
      </w:r>
      <w:r>
        <w:rPr>
          <w:rFonts w:hint="eastAsia" w:hAnsi="宋体"/>
          <w:bCs/>
          <w:sz w:val="21"/>
        </w:rPr>
        <w:t>：</w:t>
      </w:r>
      <w:r>
        <w:rPr>
          <w:rFonts w:hint="eastAsia" w:hAnsi="宋体"/>
          <w:bCs/>
          <w:sz w:val="21"/>
          <w:u w:val="single"/>
        </w:rPr>
        <w:t xml:space="preserve">                  </w:t>
      </w:r>
      <w:r>
        <w:rPr>
          <w:rFonts w:hint="eastAsia" w:hAnsi="宋体"/>
          <w:bCs/>
          <w:sz w:val="21"/>
        </w:rPr>
        <w:t xml:space="preserve">     </w:t>
      </w:r>
    </w:p>
    <w:p w14:paraId="2BE8A1FB">
      <w:pPr>
        <w:pStyle w:val="21"/>
        <w:snapToGrid w:val="0"/>
        <w:spacing w:line="360" w:lineRule="auto"/>
        <w:ind w:firstLine="422" w:firstLineChars="200"/>
        <w:rPr>
          <w:rFonts w:hAnsi="宋体"/>
          <w:b/>
          <w:bCs/>
          <w:sz w:val="21"/>
        </w:rPr>
      </w:pPr>
      <w:r>
        <w:rPr>
          <w:rFonts w:hint="eastAsia" w:hAnsi="宋体"/>
          <w:b/>
          <w:bCs/>
          <w:sz w:val="21"/>
        </w:rPr>
        <w:t>二、质疑项目基本情况：</w:t>
      </w:r>
    </w:p>
    <w:p w14:paraId="5648D66C">
      <w:pPr>
        <w:pStyle w:val="21"/>
        <w:spacing w:line="360" w:lineRule="auto"/>
        <w:ind w:left="25" w:leftChars="12" w:firstLine="413" w:firstLineChars="197"/>
        <w:rPr>
          <w:rFonts w:hAnsi="宋体"/>
          <w:sz w:val="21"/>
        </w:rPr>
      </w:pPr>
      <w:r>
        <w:rPr>
          <w:rFonts w:hint="eastAsia" w:hAnsi="宋体"/>
          <w:bCs/>
          <w:sz w:val="21"/>
        </w:rPr>
        <w:t>质疑</w:t>
      </w:r>
      <w:r>
        <w:rPr>
          <w:rFonts w:hint="eastAsia" w:hAnsi="宋体"/>
          <w:sz w:val="21"/>
        </w:rPr>
        <w:t>项目的名称：</w:t>
      </w:r>
      <w:r>
        <w:rPr>
          <w:rFonts w:hint="eastAsia" w:hAnsi="宋体"/>
          <w:bCs/>
          <w:sz w:val="21"/>
          <w:u w:val="single"/>
        </w:rPr>
        <w:t xml:space="preserve">                                     </w:t>
      </w:r>
    </w:p>
    <w:p w14:paraId="4049823C">
      <w:pPr>
        <w:pStyle w:val="21"/>
        <w:spacing w:line="360" w:lineRule="auto"/>
        <w:ind w:left="25" w:leftChars="12" w:firstLine="413" w:firstLineChars="197"/>
        <w:rPr>
          <w:rFonts w:hAnsi="宋体"/>
          <w:sz w:val="21"/>
        </w:rPr>
      </w:pPr>
      <w:r>
        <w:rPr>
          <w:rFonts w:hint="eastAsia" w:hAnsi="宋体"/>
          <w:bCs/>
          <w:sz w:val="21"/>
        </w:rPr>
        <w:t>质疑</w:t>
      </w:r>
      <w:r>
        <w:rPr>
          <w:rFonts w:hint="eastAsia" w:hAnsi="宋体"/>
          <w:sz w:val="21"/>
        </w:rPr>
        <w:t>项目的编号：</w:t>
      </w:r>
      <w:r>
        <w:rPr>
          <w:rFonts w:hint="eastAsia" w:hAnsi="宋体"/>
          <w:bCs/>
          <w:sz w:val="21"/>
          <w:u w:val="single"/>
        </w:rPr>
        <w:t xml:space="preserve">                                     </w:t>
      </w:r>
    </w:p>
    <w:p w14:paraId="44FFE723">
      <w:pPr>
        <w:pStyle w:val="21"/>
        <w:spacing w:line="360" w:lineRule="auto"/>
        <w:ind w:left="25" w:leftChars="12" w:firstLine="413" w:firstLineChars="197"/>
        <w:rPr>
          <w:rFonts w:hAnsi="宋体"/>
          <w:sz w:val="21"/>
        </w:rPr>
      </w:pPr>
      <w:r>
        <w:rPr>
          <w:rFonts w:hint="eastAsia" w:hAnsi="宋体"/>
          <w:sz w:val="21"/>
        </w:rPr>
        <w:t>采购人名称：</w:t>
      </w:r>
      <w:r>
        <w:rPr>
          <w:rFonts w:hint="eastAsia" w:hAnsi="宋体"/>
          <w:bCs/>
          <w:sz w:val="21"/>
          <w:u w:val="single"/>
        </w:rPr>
        <w:t xml:space="preserve">                                         </w:t>
      </w:r>
    </w:p>
    <w:p w14:paraId="1D359643">
      <w:pPr>
        <w:pStyle w:val="21"/>
        <w:spacing w:line="360" w:lineRule="auto"/>
        <w:ind w:left="25" w:leftChars="12" w:firstLine="413" w:firstLineChars="197"/>
        <w:rPr>
          <w:rFonts w:hAnsi="宋体"/>
          <w:sz w:val="21"/>
        </w:rPr>
      </w:pPr>
      <w:r>
        <w:rPr>
          <w:rFonts w:hint="eastAsia" w:hAnsi="宋体"/>
          <w:sz w:val="21"/>
        </w:rPr>
        <w:t>质疑事项：</w:t>
      </w:r>
    </w:p>
    <w:p w14:paraId="378EFEF1">
      <w:pPr>
        <w:pStyle w:val="21"/>
        <w:spacing w:line="360" w:lineRule="auto"/>
        <w:ind w:left="25" w:leftChars="12" w:firstLine="308" w:firstLineChars="147"/>
        <w:rPr>
          <w:rFonts w:hAnsi="宋体"/>
          <w:sz w:val="21"/>
        </w:rPr>
      </w:pPr>
      <w:r>
        <w:rPr>
          <w:rFonts w:hint="eastAsia" w:hAnsi="宋体"/>
          <w:sz w:val="21"/>
        </w:rPr>
        <w:t>□采购文件   采购文件获取日期：</w:t>
      </w:r>
      <w:r>
        <w:rPr>
          <w:rFonts w:hint="eastAsia" w:hAnsi="宋体"/>
          <w:bCs/>
          <w:sz w:val="21"/>
          <w:u w:val="single"/>
        </w:rPr>
        <w:t xml:space="preserve">                                   </w:t>
      </w:r>
    </w:p>
    <w:p w14:paraId="0D7589B0">
      <w:pPr>
        <w:pStyle w:val="21"/>
        <w:spacing w:line="360" w:lineRule="auto"/>
        <w:ind w:left="25" w:leftChars="12" w:firstLine="308" w:firstLineChars="147"/>
        <w:rPr>
          <w:rFonts w:hAnsi="宋体"/>
          <w:sz w:val="21"/>
        </w:rPr>
      </w:pPr>
      <w:r>
        <w:rPr>
          <w:rFonts w:hint="eastAsia" w:hAnsi="宋体"/>
          <w:sz w:val="21"/>
        </w:rPr>
        <w:t xml:space="preserve">□采购过程   </w:t>
      </w:r>
    </w:p>
    <w:p w14:paraId="5F5252B4">
      <w:pPr>
        <w:pStyle w:val="21"/>
        <w:spacing w:line="360" w:lineRule="auto"/>
        <w:ind w:left="25" w:leftChars="12" w:firstLine="308" w:firstLineChars="147"/>
        <w:rPr>
          <w:rFonts w:hAnsi="宋体"/>
          <w:bCs/>
          <w:sz w:val="21"/>
          <w:u w:val="single"/>
        </w:rPr>
      </w:pPr>
      <w:r>
        <w:rPr>
          <w:rFonts w:hint="eastAsia" w:hAnsi="宋体"/>
          <w:sz w:val="21"/>
        </w:rPr>
        <w:t xml:space="preserve">□成交结果   </w:t>
      </w:r>
    </w:p>
    <w:p w14:paraId="6112DCB2">
      <w:pPr>
        <w:pStyle w:val="21"/>
        <w:spacing w:line="360" w:lineRule="auto"/>
        <w:ind w:left="25" w:leftChars="12" w:firstLine="413" w:firstLineChars="196"/>
        <w:rPr>
          <w:rFonts w:hAnsi="宋体"/>
          <w:b/>
          <w:sz w:val="21"/>
        </w:rPr>
      </w:pPr>
      <w:r>
        <w:rPr>
          <w:rFonts w:hint="eastAsia" w:hAnsi="宋体"/>
          <w:b/>
          <w:sz w:val="21"/>
        </w:rPr>
        <w:t>三、质疑事项具体内容</w:t>
      </w:r>
    </w:p>
    <w:p w14:paraId="54F7E6A0">
      <w:pPr>
        <w:pStyle w:val="21"/>
        <w:spacing w:line="360" w:lineRule="auto"/>
        <w:ind w:left="25" w:leftChars="12" w:firstLine="413" w:firstLineChars="197"/>
        <w:rPr>
          <w:rFonts w:hAnsi="宋体"/>
          <w:sz w:val="21"/>
        </w:rPr>
      </w:pPr>
      <w:r>
        <w:rPr>
          <w:rFonts w:hint="eastAsia" w:hAnsi="宋体"/>
          <w:sz w:val="21"/>
        </w:rPr>
        <w:t>质疑事项1：</w:t>
      </w:r>
      <w:r>
        <w:rPr>
          <w:rFonts w:hint="eastAsia" w:hAnsi="宋体"/>
          <w:bCs/>
          <w:sz w:val="21"/>
          <w:u w:val="single"/>
        </w:rPr>
        <w:t xml:space="preserve">                                                                    </w:t>
      </w:r>
    </w:p>
    <w:p w14:paraId="71720433">
      <w:pPr>
        <w:pStyle w:val="21"/>
        <w:spacing w:line="360" w:lineRule="auto"/>
        <w:ind w:left="25" w:leftChars="12" w:firstLine="413" w:firstLineChars="197"/>
        <w:rPr>
          <w:rFonts w:hAnsi="宋体"/>
          <w:sz w:val="21"/>
        </w:rPr>
      </w:pPr>
      <w:r>
        <w:rPr>
          <w:rFonts w:hint="eastAsia" w:hAnsi="宋体"/>
          <w:sz w:val="21"/>
        </w:rPr>
        <w:t>事实依据：</w:t>
      </w:r>
      <w:r>
        <w:rPr>
          <w:rFonts w:hint="eastAsia" w:hAnsi="宋体"/>
          <w:bCs/>
          <w:sz w:val="21"/>
          <w:u w:val="single"/>
        </w:rPr>
        <w:t xml:space="preserve">                                                                      </w:t>
      </w:r>
    </w:p>
    <w:p w14:paraId="1D4A3A5C">
      <w:pPr>
        <w:pStyle w:val="21"/>
        <w:spacing w:line="360" w:lineRule="auto"/>
        <w:ind w:left="25" w:leftChars="12" w:firstLine="413" w:firstLineChars="197"/>
        <w:rPr>
          <w:rFonts w:hAnsi="宋体"/>
          <w:sz w:val="21"/>
        </w:rPr>
      </w:pPr>
      <w:r>
        <w:rPr>
          <w:rFonts w:hint="eastAsia" w:hAnsi="宋体"/>
          <w:sz w:val="21"/>
        </w:rPr>
        <w:t>法律依据：</w:t>
      </w:r>
      <w:r>
        <w:rPr>
          <w:rFonts w:hint="eastAsia" w:hAnsi="宋体"/>
          <w:sz w:val="21"/>
          <w:u w:val="single"/>
        </w:rPr>
        <w:t xml:space="preserve">                                                        </w:t>
      </w:r>
      <w:r>
        <w:rPr>
          <w:rFonts w:hint="eastAsia" w:hAnsi="宋体"/>
          <w:bCs/>
          <w:sz w:val="21"/>
          <w:u w:val="single"/>
        </w:rPr>
        <w:t xml:space="preserve">               </w:t>
      </w:r>
    </w:p>
    <w:p w14:paraId="40100474">
      <w:pPr>
        <w:pStyle w:val="21"/>
        <w:spacing w:line="360" w:lineRule="auto"/>
        <w:ind w:left="25" w:leftChars="12" w:firstLine="413" w:firstLineChars="197"/>
        <w:rPr>
          <w:rFonts w:hAnsi="宋体"/>
          <w:sz w:val="21"/>
        </w:rPr>
      </w:pPr>
      <w:r>
        <w:rPr>
          <w:rFonts w:hint="eastAsia" w:hAnsi="宋体"/>
          <w:sz w:val="21"/>
        </w:rPr>
        <w:t>质疑事项2</w:t>
      </w:r>
    </w:p>
    <w:p w14:paraId="63122426">
      <w:pPr>
        <w:pStyle w:val="21"/>
        <w:spacing w:line="360" w:lineRule="auto"/>
        <w:ind w:left="25" w:leftChars="12" w:firstLine="413" w:firstLineChars="197"/>
        <w:rPr>
          <w:rFonts w:hAnsi="宋体"/>
          <w:sz w:val="21"/>
        </w:rPr>
      </w:pPr>
      <w:r>
        <w:rPr>
          <w:rFonts w:hAnsi="宋体"/>
          <w:sz w:val="21"/>
        </w:rPr>
        <w:t>……</w:t>
      </w:r>
    </w:p>
    <w:p w14:paraId="74ED9158">
      <w:pPr>
        <w:pStyle w:val="21"/>
        <w:spacing w:line="360" w:lineRule="auto"/>
        <w:ind w:left="25" w:leftChars="12" w:firstLine="413" w:firstLineChars="197"/>
        <w:rPr>
          <w:rFonts w:hAnsi="宋体"/>
          <w:sz w:val="21"/>
        </w:rPr>
      </w:pPr>
      <w:r>
        <w:rPr>
          <w:rFonts w:hint="eastAsia" w:hAnsi="宋体"/>
          <w:sz w:val="21"/>
        </w:rPr>
        <w:t>四、与质疑事项相关的质疑请求：</w:t>
      </w:r>
    </w:p>
    <w:p w14:paraId="1B0D7103">
      <w:pPr>
        <w:pStyle w:val="21"/>
        <w:spacing w:line="360" w:lineRule="auto"/>
        <w:ind w:left="25" w:leftChars="12" w:firstLine="413" w:firstLineChars="197"/>
        <w:rPr>
          <w:rFonts w:hAnsi="宋体"/>
          <w:sz w:val="21"/>
        </w:rPr>
      </w:pPr>
      <w:r>
        <w:rPr>
          <w:rFonts w:hint="eastAsia" w:hAnsi="宋体"/>
          <w:sz w:val="21"/>
        </w:rPr>
        <w:t>请求：</w:t>
      </w:r>
      <w:r>
        <w:rPr>
          <w:rFonts w:hint="eastAsia" w:hAnsi="宋体"/>
          <w:bCs/>
          <w:sz w:val="21"/>
          <w:u w:val="single"/>
        </w:rPr>
        <w:t xml:space="preserve">                                                                </w:t>
      </w:r>
    </w:p>
    <w:p w14:paraId="29147564">
      <w:pPr>
        <w:pStyle w:val="21"/>
        <w:spacing w:line="360" w:lineRule="auto"/>
        <w:ind w:left="25" w:leftChars="12" w:firstLine="308" w:firstLineChars="147"/>
        <w:rPr>
          <w:rFonts w:hAnsi="宋体"/>
          <w:sz w:val="21"/>
        </w:rPr>
      </w:pPr>
    </w:p>
    <w:p w14:paraId="263DE831">
      <w:pPr>
        <w:pStyle w:val="21"/>
        <w:spacing w:line="360" w:lineRule="auto"/>
        <w:ind w:left="25" w:leftChars="12" w:firstLine="413" w:firstLineChars="197"/>
        <w:rPr>
          <w:rFonts w:hAnsi="宋体"/>
          <w:sz w:val="21"/>
        </w:rPr>
      </w:pPr>
      <w:r>
        <w:rPr>
          <w:rFonts w:hint="eastAsia" w:hAnsi="宋体"/>
          <w:sz w:val="21"/>
        </w:rPr>
        <w:t>签字（签章）：                                       公章：</w:t>
      </w:r>
    </w:p>
    <w:p w14:paraId="66681903">
      <w:pPr>
        <w:pStyle w:val="21"/>
        <w:spacing w:line="360" w:lineRule="auto"/>
        <w:ind w:left="25" w:leftChars="12" w:firstLine="308" w:firstLineChars="147"/>
        <w:rPr>
          <w:rFonts w:hAnsi="宋体"/>
          <w:sz w:val="21"/>
        </w:rPr>
      </w:pPr>
    </w:p>
    <w:p w14:paraId="7B93C3AB">
      <w:pPr>
        <w:pStyle w:val="21"/>
        <w:spacing w:line="360" w:lineRule="auto"/>
        <w:ind w:left="25" w:leftChars="12" w:firstLine="413" w:firstLineChars="197"/>
        <w:rPr>
          <w:rFonts w:hAnsi="宋体"/>
          <w:sz w:val="21"/>
        </w:rPr>
      </w:pPr>
      <w:r>
        <w:rPr>
          <w:rFonts w:hint="eastAsia" w:hAnsi="宋体"/>
          <w:sz w:val="21"/>
        </w:rPr>
        <w:t>日期：</w:t>
      </w:r>
    </w:p>
    <w:p w14:paraId="59E77153">
      <w:pPr>
        <w:pStyle w:val="21"/>
        <w:snapToGrid w:val="0"/>
        <w:spacing w:line="360" w:lineRule="auto"/>
        <w:rPr>
          <w:rFonts w:hAnsi="宋体"/>
          <w:b/>
          <w:sz w:val="21"/>
        </w:rPr>
      </w:pPr>
    </w:p>
    <w:p w14:paraId="7834A42E">
      <w:pPr>
        <w:pStyle w:val="21"/>
        <w:snapToGrid w:val="0"/>
        <w:spacing w:line="360" w:lineRule="auto"/>
        <w:rPr>
          <w:rFonts w:hAnsi="宋体"/>
          <w:b/>
          <w:sz w:val="21"/>
        </w:rPr>
      </w:pPr>
      <w:r>
        <w:rPr>
          <w:rFonts w:hint="eastAsia" w:hAnsi="宋体"/>
          <w:b/>
          <w:sz w:val="21"/>
        </w:rPr>
        <w:br w:type="page"/>
      </w:r>
      <w:r>
        <w:rPr>
          <w:rFonts w:hint="eastAsia" w:hAnsi="宋体"/>
          <w:b/>
          <w:sz w:val="21"/>
        </w:rPr>
        <w:t>说明：</w:t>
      </w:r>
    </w:p>
    <w:p w14:paraId="6A1CBFF1">
      <w:pPr>
        <w:pStyle w:val="21"/>
        <w:spacing w:line="360" w:lineRule="auto"/>
        <w:ind w:left="25" w:leftChars="12" w:firstLine="310" w:firstLineChars="147"/>
        <w:rPr>
          <w:rFonts w:hAnsi="宋体"/>
          <w:b/>
          <w:bCs/>
          <w:sz w:val="21"/>
        </w:rPr>
      </w:pPr>
      <w:r>
        <w:rPr>
          <w:rFonts w:hint="eastAsia" w:hAnsi="宋体"/>
          <w:b/>
          <w:sz w:val="21"/>
        </w:rPr>
        <w:t>1.供应商提出质疑时，应提交质疑函和必要的证明材料</w:t>
      </w:r>
      <w:r>
        <w:rPr>
          <w:rFonts w:hint="eastAsia" w:hAnsi="宋体"/>
          <w:b/>
          <w:bCs/>
          <w:sz w:val="21"/>
        </w:rPr>
        <w:t>。</w:t>
      </w:r>
    </w:p>
    <w:p w14:paraId="3430EFEC">
      <w:pPr>
        <w:pStyle w:val="21"/>
        <w:spacing w:line="360" w:lineRule="auto"/>
        <w:ind w:left="25" w:leftChars="12" w:firstLine="310" w:firstLineChars="147"/>
        <w:rPr>
          <w:rFonts w:hAnsi="宋体"/>
          <w:b/>
          <w:sz w:val="21"/>
        </w:rPr>
      </w:pPr>
      <w:r>
        <w:rPr>
          <w:rFonts w:hint="eastAsia" w:hAnsi="宋体"/>
          <w:b/>
          <w:sz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BD79561">
      <w:pPr>
        <w:pStyle w:val="21"/>
        <w:spacing w:line="360" w:lineRule="auto"/>
        <w:ind w:left="25" w:leftChars="12" w:firstLine="310" w:firstLineChars="147"/>
        <w:rPr>
          <w:rFonts w:hAnsi="宋体"/>
          <w:b/>
          <w:sz w:val="21"/>
        </w:rPr>
      </w:pPr>
      <w:r>
        <w:rPr>
          <w:rFonts w:hint="eastAsia" w:hAnsi="宋体"/>
          <w:b/>
          <w:sz w:val="21"/>
        </w:rPr>
        <w:t>3.质疑函的质疑事项应具体、明确，并有必要的事实依据和法律依据。</w:t>
      </w:r>
    </w:p>
    <w:p w14:paraId="67754CFF">
      <w:pPr>
        <w:pStyle w:val="21"/>
        <w:spacing w:line="360" w:lineRule="auto"/>
        <w:ind w:left="25" w:leftChars="12" w:firstLine="310" w:firstLineChars="147"/>
        <w:rPr>
          <w:rFonts w:hAnsi="宋体"/>
          <w:b/>
          <w:sz w:val="21"/>
        </w:rPr>
      </w:pPr>
      <w:r>
        <w:rPr>
          <w:rFonts w:hint="eastAsia" w:hAnsi="宋体"/>
          <w:b/>
          <w:sz w:val="21"/>
        </w:rPr>
        <w:t>4.质疑函的质疑请求应与质疑事项相关。</w:t>
      </w:r>
    </w:p>
    <w:p w14:paraId="688BD558">
      <w:pPr>
        <w:pStyle w:val="21"/>
        <w:spacing w:line="360" w:lineRule="auto"/>
        <w:ind w:left="25" w:leftChars="12" w:firstLine="310" w:firstLineChars="147"/>
        <w:rPr>
          <w:rFonts w:hAnsi="宋体"/>
          <w:b/>
          <w:sz w:val="21"/>
        </w:rPr>
      </w:pPr>
      <w:r>
        <w:rPr>
          <w:rFonts w:hint="eastAsia" w:hAnsi="宋体"/>
          <w:b/>
          <w:sz w:val="21"/>
        </w:rPr>
        <w:t>5.质疑供应商为法人或者其他组织的，质疑函应由法定代表人、主要负责人，或者其授权代表签字或者盖章，并加盖公章。</w:t>
      </w:r>
    </w:p>
    <w:p w14:paraId="55A8FE00">
      <w:pPr>
        <w:pStyle w:val="21"/>
        <w:snapToGrid w:val="0"/>
        <w:rPr>
          <w:b/>
          <w:sz w:val="24"/>
          <w:szCs w:val="24"/>
        </w:rPr>
      </w:pPr>
    </w:p>
    <w:p w14:paraId="58412D23">
      <w:pPr>
        <w:spacing w:line="460" w:lineRule="exact"/>
        <w:jc w:val="center"/>
        <w:rPr>
          <w:rFonts w:eastAsia="隶书"/>
          <w:sz w:val="44"/>
        </w:rPr>
      </w:pPr>
      <w:r>
        <w:rPr>
          <w:rFonts w:eastAsia="隶书"/>
          <w:sz w:val="44"/>
        </w:rPr>
        <w:br w:type="page"/>
      </w:r>
    </w:p>
    <w:p w14:paraId="73A1DEB6">
      <w:pPr>
        <w:spacing w:line="360" w:lineRule="auto"/>
        <w:jc w:val="center"/>
        <w:rPr>
          <w:rFonts w:ascii="宋体" w:hAnsi="宋体"/>
          <w:b/>
          <w:bCs/>
          <w:sz w:val="32"/>
          <w:szCs w:val="32"/>
        </w:rPr>
      </w:pPr>
      <w:r>
        <w:rPr>
          <w:rFonts w:hint="eastAsia" w:ascii="宋体" w:hAnsi="宋体"/>
          <w:b/>
          <w:bCs/>
          <w:sz w:val="32"/>
          <w:szCs w:val="32"/>
        </w:rPr>
        <w:t>4.投诉书（格式）</w:t>
      </w:r>
    </w:p>
    <w:p w14:paraId="130FDB70">
      <w:pPr>
        <w:pStyle w:val="21"/>
        <w:snapToGrid w:val="0"/>
        <w:spacing w:line="360" w:lineRule="auto"/>
        <w:ind w:firstLine="422" w:firstLineChars="200"/>
        <w:rPr>
          <w:rFonts w:hAnsi="宋体"/>
          <w:b/>
          <w:bCs/>
          <w:sz w:val="21"/>
        </w:rPr>
      </w:pPr>
      <w:r>
        <w:rPr>
          <w:rFonts w:hint="eastAsia" w:hAnsi="宋体"/>
          <w:b/>
          <w:bCs/>
          <w:sz w:val="21"/>
        </w:rPr>
        <w:t>一、投诉相关主体基本情况：</w:t>
      </w:r>
    </w:p>
    <w:p w14:paraId="15A10284">
      <w:pPr>
        <w:pStyle w:val="21"/>
        <w:snapToGrid w:val="0"/>
        <w:spacing w:line="360" w:lineRule="auto"/>
        <w:ind w:firstLine="420" w:firstLineChars="200"/>
        <w:rPr>
          <w:rFonts w:hAnsi="宋体"/>
          <w:bCs/>
          <w:sz w:val="21"/>
          <w:u w:val="single"/>
        </w:rPr>
      </w:pPr>
      <w:r>
        <w:rPr>
          <w:rFonts w:hint="eastAsia" w:hAnsi="宋体"/>
          <w:bCs/>
          <w:sz w:val="21"/>
        </w:rPr>
        <w:t>供应商：</w:t>
      </w:r>
      <w:r>
        <w:rPr>
          <w:rFonts w:hint="eastAsia" w:hAnsi="宋体"/>
          <w:bCs/>
          <w:sz w:val="21"/>
          <w:u w:val="single"/>
        </w:rPr>
        <w:t xml:space="preserve">                                                                        </w:t>
      </w:r>
      <w:r>
        <w:rPr>
          <w:rFonts w:hint="eastAsia" w:hAnsi="宋体"/>
          <w:bCs/>
          <w:sz w:val="21"/>
        </w:rPr>
        <w:t xml:space="preserve">                 </w:t>
      </w:r>
    </w:p>
    <w:p w14:paraId="1806D2CF">
      <w:pPr>
        <w:pStyle w:val="21"/>
        <w:snapToGrid w:val="0"/>
        <w:spacing w:line="360" w:lineRule="auto"/>
        <w:ind w:firstLine="420" w:firstLineChars="200"/>
        <w:rPr>
          <w:rFonts w:hAnsi="宋体"/>
          <w:bCs/>
          <w:sz w:val="21"/>
        </w:rPr>
      </w:pPr>
      <w:r>
        <w:rPr>
          <w:rFonts w:hAnsi="宋体"/>
          <w:bCs/>
          <w:sz w:val="21"/>
        </w:rPr>
        <w:t>地址</w:t>
      </w:r>
      <w:r>
        <w:rPr>
          <w:rFonts w:hint="eastAsia" w:hAnsi="宋体"/>
          <w:bCs/>
          <w:sz w:val="21"/>
        </w:rPr>
        <w:t>：</w:t>
      </w:r>
      <w:r>
        <w:rPr>
          <w:rFonts w:hint="eastAsia" w:hAnsi="宋体"/>
          <w:bCs/>
          <w:sz w:val="21"/>
          <w:u w:val="single"/>
        </w:rPr>
        <w:t xml:space="preserve">                                          </w:t>
      </w:r>
      <w:r>
        <w:rPr>
          <w:rFonts w:hAnsi="宋体"/>
          <w:bCs/>
          <w:sz w:val="21"/>
        </w:rPr>
        <w:t>邮编</w:t>
      </w:r>
      <w:r>
        <w:rPr>
          <w:rFonts w:hint="eastAsia" w:hAnsi="宋体"/>
          <w:bCs/>
          <w:sz w:val="21"/>
        </w:rPr>
        <w:t>：</w:t>
      </w:r>
      <w:r>
        <w:rPr>
          <w:rFonts w:hint="eastAsia" w:hAnsi="宋体"/>
          <w:bCs/>
          <w:sz w:val="21"/>
          <w:u w:val="single"/>
        </w:rPr>
        <w:t xml:space="preserve">                          </w:t>
      </w:r>
      <w:r>
        <w:rPr>
          <w:rFonts w:hint="eastAsia" w:hAnsi="宋体"/>
          <w:bCs/>
          <w:sz w:val="21"/>
        </w:rPr>
        <w:t xml:space="preserve">                 </w:t>
      </w:r>
    </w:p>
    <w:p w14:paraId="798CDFBA">
      <w:pPr>
        <w:pStyle w:val="21"/>
        <w:snapToGrid w:val="0"/>
        <w:spacing w:line="360" w:lineRule="auto"/>
        <w:ind w:firstLine="420" w:firstLineChars="200"/>
        <w:rPr>
          <w:rFonts w:hAnsi="宋体"/>
          <w:bCs/>
          <w:sz w:val="21"/>
          <w:u w:val="single"/>
        </w:rPr>
      </w:pPr>
      <w:r>
        <w:rPr>
          <w:rFonts w:hint="eastAsia" w:hAnsi="宋体"/>
          <w:bCs/>
          <w:sz w:val="21"/>
        </w:rPr>
        <w:t>法定代表人/主要负责人：</w:t>
      </w:r>
      <w:r>
        <w:rPr>
          <w:rFonts w:hint="eastAsia" w:hAnsi="宋体"/>
          <w:bCs/>
          <w:sz w:val="21"/>
          <w:u w:val="single"/>
        </w:rPr>
        <w:t xml:space="preserve">                                                         </w:t>
      </w:r>
    </w:p>
    <w:p w14:paraId="1CB9F65D">
      <w:pPr>
        <w:pStyle w:val="21"/>
        <w:snapToGrid w:val="0"/>
        <w:spacing w:line="360" w:lineRule="auto"/>
        <w:ind w:firstLine="420" w:firstLineChars="200"/>
        <w:rPr>
          <w:rFonts w:hAnsi="宋体"/>
          <w:bCs/>
          <w:sz w:val="21"/>
        </w:rPr>
      </w:pPr>
      <w:r>
        <w:rPr>
          <w:rFonts w:hAnsi="宋体"/>
          <w:bCs/>
          <w:sz w:val="21"/>
        </w:rPr>
        <w:t>联系电话</w:t>
      </w:r>
      <w:r>
        <w:rPr>
          <w:rFonts w:hint="eastAsia" w:hAnsi="宋体"/>
          <w:bCs/>
          <w:sz w:val="21"/>
        </w:rPr>
        <w:t>：</w:t>
      </w:r>
      <w:r>
        <w:rPr>
          <w:rFonts w:hint="eastAsia" w:hAnsi="宋体"/>
          <w:bCs/>
          <w:sz w:val="21"/>
          <w:u w:val="single"/>
        </w:rPr>
        <w:t xml:space="preserve">                                         </w:t>
      </w:r>
    </w:p>
    <w:p w14:paraId="191F0344">
      <w:pPr>
        <w:pStyle w:val="21"/>
        <w:snapToGrid w:val="0"/>
        <w:spacing w:line="360" w:lineRule="auto"/>
        <w:ind w:firstLine="420" w:firstLineChars="200"/>
        <w:rPr>
          <w:rFonts w:hAnsi="宋体"/>
          <w:bCs/>
          <w:sz w:val="21"/>
          <w:u w:val="single"/>
        </w:rPr>
      </w:pPr>
      <w:r>
        <w:rPr>
          <w:rFonts w:hint="eastAsia" w:hAnsi="宋体"/>
          <w:bCs/>
          <w:sz w:val="21"/>
        </w:rPr>
        <w:t>授权代表：</w:t>
      </w:r>
      <w:r>
        <w:rPr>
          <w:rFonts w:hint="eastAsia" w:hAnsi="宋体"/>
          <w:bCs/>
          <w:sz w:val="21"/>
          <w:u w:val="single"/>
        </w:rPr>
        <w:t xml:space="preserve">                                         </w:t>
      </w:r>
      <w:r>
        <w:rPr>
          <w:rFonts w:hAnsi="宋体"/>
          <w:bCs/>
          <w:sz w:val="21"/>
        </w:rPr>
        <w:t>联系</w:t>
      </w:r>
      <w:r>
        <w:rPr>
          <w:rFonts w:hint="eastAsia" w:hAnsi="宋体"/>
          <w:bCs/>
          <w:sz w:val="21"/>
        </w:rPr>
        <w:t>电话：</w:t>
      </w:r>
      <w:r>
        <w:rPr>
          <w:rFonts w:hint="eastAsia" w:hAnsi="宋体"/>
          <w:bCs/>
          <w:sz w:val="21"/>
          <w:u w:val="single"/>
        </w:rPr>
        <w:t xml:space="preserve">                   </w:t>
      </w:r>
    </w:p>
    <w:p w14:paraId="6647DD8A">
      <w:pPr>
        <w:pStyle w:val="21"/>
        <w:snapToGrid w:val="0"/>
        <w:spacing w:line="360" w:lineRule="auto"/>
        <w:ind w:firstLine="420" w:firstLineChars="200"/>
        <w:rPr>
          <w:rFonts w:hAnsi="宋体"/>
          <w:bCs/>
          <w:sz w:val="21"/>
        </w:rPr>
      </w:pPr>
      <w:r>
        <w:rPr>
          <w:rFonts w:hAnsi="宋体"/>
          <w:bCs/>
          <w:sz w:val="21"/>
        </w:rPr>
        <w:t>地址</w:t>
      </w:r>
      <w:r>
        <w:rPr>
          <w:rFonts w:hint="eastAsia" w:hAnsi="宋体"/>
          <w:bCs/>
          <w:sz w:val="21"/>
        </w:rPr>
        <w:t>：</w:t>
      </w:r>
      <w:r>
        <w:rPr>
          <w:rFonts w:hint="eastAsia" w:hAnsi="宋体"/>
          <w:bCs/>
          <w:sz w:val="21"/>
          <w:u w:val="single"/>
        </w:rPr>
        <w:t xml:space="preserve">                                                            </w:t>
      </w:r>
      <w:r>
        <w:rPr>
          <w:rFonts w:hAnsi="宋体"/>
          <w:bCs/>
          <w:sz w:val="21"/>
        </w:rPr>
        <w:t>邮编</w:t>
      </w:r>
      <w:r>
        <w:rPr>
          <w:rFonts w:hint="eastAsia" w:hAnsi="宋体"/>
          <w:bCs/>
          <w:sz w:val="21"/>
        </w:rPr>
        <w:t>：</w:t>
      </w:r>
      <w:r>
        <w:rPr>
          <w:rFonts w:hint="eastAsia" w:hAnsi="宋体"/>
          <w:bCs/>
          <w:sz w:val="21"/>
          <w:u w:val="single"/>
        </w:rPr>
        <w:t xml:space="preserve">         </w:t>
      </w:r>
      <w:r>
        <w:rPr>
          <w:rFonts w:hint="eastAsia" w:hAnsi="宋体"/>
          <w:bCs/>
          <w:sz w:val="21"/>
        </w:rPr>
        <w:t xml:space="preserve">   </w:t>
      </w:r>
    </w:p>
    <w:p w14:paraId="35918207">
      <w:pPr>
        <w:pStyle w:val="21"/>
        <w:snapToGrid w:val="0"/>
        <w:spacing w:line="360" w:lineRule="auto"/>
        <w:ind w:firstLine="420" w:firstLineChars="200"/>
        <w:rPr>
          <w:rFonts w:hAnsi="宋体"/>
          <w:bCs/>
          <w:sz w:val="21"/>
        </w:rPr>
      </w:pPr>
      <w:r>
        <w:rPr>
          <w:rFonts w:hint="eastAsia" w:hAnsi="宋体"/>
          <w:bCs/>
          <w:sz w:val="21"/>
        </w:rPr>
        <w:t>被投诉人1：</w:t>
      </w:r>
    </w:p>
    <w:p w14:paraId="6ECE52F7">
      <w:pPr>
        <w:pStyle w:val="21"/>
        <w:snapToGrid w:val="0"/>
        <w:spacing w:line="360" w:lineRule="auto"/>
        <w:ind w:firstLine="420" w:firstLineChars="200"/>
        <w:rPr>
          <w:rFonts w:hAnsi="宋体"/>
          <w:bCs/>
          <w:sz w:val="21"/>
        </w:rPr>
      </w:pPr>
      <w:r>
        <w:rPr>
          <w:rFonts w:hint="eastAsia" w:hAnsi="宋体"/>
          <w:bCs/>
          <w:sz w:val="21"/>
        </w:rPr>
        <w:t>地址：</w:t>
      </w:r>
      <w:r>
        <w:rPr>
          <w:rFonts w:hint="eastAsia" w:hAnsi="宋体"/>
          <w:bCs/>
          <w:sz w:val="21"/>
          <w:u w:val="single"/>
        </w:rPr>
        <w:t xml:space="preserve">                                                            </w:t>
      </w:r>
      <w:r>
        <w:rPr>
          <w:rFonts w:hAnsi="宋体"/>
          <w:bCs/>
          <w:sz w:val="21"/>
        </w:rPr>
        <w:t>邮编</w:t>
      </w:r>
      <w:r>
        <w:rPr>
          <w:rFonts w:hint="eastAsia" w:hAnsi="宋体"/>
          <w:bCs/>
          <w:sz w:val="21"/>
        </w:rPr>
        <w:t>：</w:t>
      </w:r>
      <w:r>
        <w:rPr>
          <w:rFonts w:hint="eastAsia" w:hAnsi="宋体"/>
          <w:bCs/>
          <w:sz w:val="21"/>
          <w:u w:val="single"/>
        </w:rPr>
        <w:t xml:space="preserve">         </w:t>
      </w:r>
      <w:r>
        <w:rPr>
          <w:rFonts w:hint="eastAsia" w:hAnsi="宋体"/>
          <w:bCs/>
          <w:sz w:val="21"/>
        </w:rPr>
        <w:t xml:space="preserve">  </w:t>
      </w:r>
    </w:p>
    <w:p w14:paraId="26237B65">
      <w:pPr>
        <w:pStyle w:val="21"/>
        <w:snapToGrid w:val="0"/>
        <w:spacing w:line="360" w:lineRule="auto"/>
        <w:ind w:firstLine="420" w:firstLineChars="200"/>
        <w:rPr>
          <w:rFonts w:hAnsi="宋体"/>
          <w:bCs/>
          <w:sz w:val="21"/>
          <w:u w:val="single"/>
        </w:rPr>
      </w:pPr>
      <w:r>
        <w:rPr>
          <w:rFonts w:hint="eastAsia" w:hAnsi="宋体"/>
          <w:bCs/>
          <w:sz w:val="21"/>
        </w:rPr>
        <w:t>联系人：</w:t>
      </w:r>
      <w:r>
        <w:rPr>
          <w:rFonts w:hint="eastAsia" w:hAnsi="宋体"/>
          <w:bCs/>
          <w:sz w:val="21"/>
          <w:u w:val="single"/>
        </w:rPr>
        <w:t xml:space="preserve">                                                </w:t>
      </w:r>
      <w:r>
        <w:rPr>
          <w:rFonts w:hAnsi="宋体"/>
          <w:bCs/>
          <w:sz w:val="21"/>
        </w:rPr>
        <w:t>联系</w:t>
      </w:r>
      <w:r>
        <w:rPr>
          <w:rFonts w:hint="eastAsia" w:hAnsi="宋体"/>
          <w:bCs/>
          <w:sz w:val="21"/>
        </w:rPr>
        <w:t>电话：</w:t>
      </w:r>
      <w:r>
        <w:rPr>
          <w:rFonts w:hint="eastAsia" w:hAnsi="宋体"/>
          <w:bCs/>
          <w:sz w:val="21"/>
          <w:u w:val="single"/>
        </w:rPr>
        <w:t xml:space="preserve">                </w:t>
      </w:r>
    </w:p>
    <w:p w14:paraId="23B3432F">
      <w:pPr>
        <w:pStyle w:val="21"/>
        <w:snapToGrid w:val="0"/>
        <w:spacing w:line="360" w:lineRule="auto"/>
        <w:ind w:firstLine="420" w:firstLineChars="200"/>
        <w:rPr>
          <w:rFonts w:hAnsi="宋体"/>
          <w:bCs/>
          <w:sz w:val="21"/>
        </w:rPr>
      </w:pPr>
      <w:r>
        <w:rPr>
          <w:rFonts w:hint="eastAsia" w:hAnsi="宋体"/>
          <w:bCs/>
          <w:sz w:val="21"/>
        </w:rPr>
        <w:t>被投诉人2：</w:t>
      </w:r>
    </w:p>
    <w:p w14:paraId="285E06D6">
      <w:pPr>
        <w:pStyle w:val="21"/>
        <w:snapToGrid w:val="0"/>
        <w:spacing w:line="360" w:lineRule="auto"/>
        <w:ind w:firstLine="420" w:firstLineChars="200"/>
        <w:rPr>
          <w:rFonts w:hAnsi="宋体"/>
          <w:bCs/>
          <w:sz w:val="21"/>
        </w:rPr>
      </w:pPr>
      <w:r>
        <w:rPr>
          <w:rFonts w:hAnsi="宋体"/>
          <w:bCs/>
          <w:sz w:val="21"/>
        </w:rPr>
        <w:t>……</w:t>
      </w:r>
    </w:p>
    <w:p w14:paraId="4532061E">
      <w:pPr>
        <w:pStyle w:val="21"/>
        <w:snapToGrid w:val="0"/>
        <w:spacing w:line="360" w:lineRule="auto"/>
        <w:ind w:firstLine="420" w:firstLineChars="200"/>
        <w:rPr>
          <w:rFonts w:hAnsi="宋体"/>
          <w:bCs/>
          <w:sz w:val="21"/>
          <w:u w:val="single"/>
        </w:rPr>
      </w:pPr>
      <w:r>
        <w:rPr>
          <w:rFonts w:hint="eastAsia" w:hAnsi="宋体"/>
          <w:bCs/>
          <w:sz w:val="21"/>
        </w:rPr>
        <w:t>相关供应商：</w:t>
      </w:r>
      <w:r>
        <w:rPr>
          <w:rFonts w:hint="eastAsia" w:hAnsi="宋体"/>
          <w:bCs/>
          <w:sz w:val="21"/>
          <w:u w:val="single"/>
        </w:rPr>
        <w:t xml:space="preserve">                                                                       </w:t>
      </w:r>
    </w:p>
    <w:p w14:paraId="355EA99C">
      <w:pPr>
        <w:pStyle w:val="21"/>
        <w:snapToGrid w:val="0"/>
        <w:spacing w:line="360" w:lineRule="auto"/>
        <w:ind w:firstLine="420" w:firstLineChars="200"/>
        <w:rPr>
          <w:rFonts w:hAnsi="宋体"/>
          <w:bCs/>
          <w:sz w:val="21"/>
          <w:u w:val="single"/>
        </w:rPr>
      </w:pPr>
      <w:r>
        <w:rPr>
          <w:rFonts w:hAnsi="宋体"/>
          <w:bCs/>
          <w:sz w:val="21"/>
        </w:rPr>
        <w:t>地址</w:t>
      </w:r>
      <w:r>
        <w:rPr>
          <w:rFonts w:hint="eastAsia" w:hAnsi="宋体"/>
          <w:bCs/>
          <w:sz w:val="21"/>
        </w:rPr>
        <w:t>：</w:t>
      </w:r>
      <w:r>
        <w:rPr>
          <w:rFonts w:hint="eastAsia" w:hAnsi="宋体"/>
          <w:bCs/>
          <w:sz w:val="21"/>
          <w:u w:val="single"/>
        </w:rPr>
        <w:t xml:space="preserve">                                              </w:t>
      </w:r>
      <w:r>
        <w:rPr>
          <w:rFonts w:hAnsi="宋体"/>
          <w:bCs/>
          <w:sz w:val="21"/>
        </w:rPr>
        <w:t>邮编</w:t>
      </w:r>
      <w:r>
        <w:rPr>
          <w:rFonts w:hint="eastAsia" w:hAnsi="宋体"/>
          <w:bCs/>
          <w:sz w:val="21"/>
        </w:rPr>
        <w:t>：</w:t>
      </w:r>
      <w:r>
        <w:rPr>
          <w:rFonts w:hint="eastAsia" w:hAnsi="宋体"/>
          <w:bCs/>
          <w:sz w:val="21"/>
          <w:u w:val="single"/>
        </w:rPr>
        <w:t xml:space="preserve">                         </w:t>
      </w:r>
    </w:p>
    <w:p w14:paraId="3513187B">
      <w:pPr>
        <w:pStyle w:val="21"/>
        <w:snapToGrid w:val="0"/>
        <w:spacing w:line="360" w:lineRule="auto"/>
        <w:ind w:firstLine="420" w:firstLineChars="200"/>
        <w:rPr>
          <w:rFonts w:hAnsi="宋体"/>
          <w:bCs/>
          <w:sz w:val="21"/>
        </w:rPr>
      </w:pPr>
      <w:r>
        <w:rPr>
          <w:rFonts w:hint="eastAsia" w:hAnsi="宋体"/>
          <w:bCs/>
          <w:sz w:val="21"/>
        </w:rPr>
        <w:t>联系人：</w:t>
      </w:r>
      <w:r>
        <w:rPr>
          <w:rFonts w:hint="eastAsia" w:hAnsi="宋体"/>
          <w:bCs/>
          <w:sz w:val="21"/>
          <w:u w:val="single"/>
        </w:rPr>
        <w:t xml:space="preserve">                                            </w:t>
      </w:r>
      <w:r>
        <w:rPr>
          <w:rFonts w:hAnsi="宋体"/>
          <w:bCs/>
          <w:sz w:val="21"/>
        </w:rPr>
        <w:t>联系</w:t>
      </w:r>
      <w:r>
        <w:rPr>
          <w:rFonts w:hint="eastAsia" w:hAnsi="宋体"/>
          <w:bCs/>
          <w:sz w:val="21"/>
        </w:rPr>
        <w:t>电话：</w:t>
      </w:r>
      <w:r>
        <w:rPr>
          <w:rFonts w:hint="eastAsia" w:hAnsi="宋体"/>
          <w:bCs/>
          <w:sz w:val="21"/>
          <w:u w:val="single"/>
        </w:rPr>
        <w:t xml:space="preserve">                     </w:t>
      </w:r>
      <w:r>
        <w:rPr>
          <w:rFonts w:hint="eastAsia" w:hAnsi="宋体"/>
          <w:bCs/>
          <w:sz w:val="21"/>
        </w:rPr>
        <w:t xml:space="preserve">                </w:t>
      </w:r>
    </w:p>
    <w:p w14:paraId="2D31EFC3">
      <w:pPr>
        <w:pStyle w:val="21"/>
        <w:snapToGrid w:val="0"/>
        <w:spacing w:line="360" w:lineRule="auto"/>
        <w:ind w:firstLine="422" w:firstLineChars="200"/>
        <w:rPr>
          <w:rFonts w:hAnsi="宋体"/>
          <w:b/>
          <w:bCs/>
          <w:sz w:val="21"/>
        </w:rPr>
      </w:pPr>
      <w:r>
        <w:rPr>
          <w:rFonts w:hint="eastAsia" w:hAnsi="宋体"/>
          <w:b/>
          <w:bCs/>
          <w:sz w:val="21"/>
        </w:rPr>
        <w:t>二、投诉项目基本情况：</w:t>
      </w:r>
    </w:p>
    <w:p w14:paraId="72C128FC">
      <w:pPr>
        <w:pStyle w:val="21"/>
        <w:spacing w:line="360" w:lineRule="auto"/>
        <w:ind w:left="25" w:leftChars="12" w:firstLine="413" w:firstLineChars="197"/>
        <w:rPr>
          <w:rFonts w:hAnsi="宋体"/>
          <w:sz w:val="21"/>
        </w:rPr>
      </w:pPr>
      <w:r>
        <w:rPr>
          <w:rFonts w:hint="eastAsia" w:hAnsi="宋体"/>
          <w:bCs/>
          <w:sz w:val="21"/>
        </w:rPr>
        <w:t>采购</w:t>
      </w:r>
      <w:r>
        <w:rPr>
          <w:rFonts w:hint="eastAsia" w:hAnsi="宋体"/>
          <w:sz w:val="21"/>
        </w:rPr>
        <w:t>项目的名称：</w:t>
      </w:r>
      <w:r>
        <w:rPr>
          <w:rFonts w:hint="eastAsia" w:hAnsi="宋体"/>
          <w:bCs/>
          <w:sz w:val="21"/>
          <w:u w:val="single"/>
        </w:rPr>
        <w:t xml:space="preserve">                                                                   </w:t>
      </w:r>
    </w:p>
    <w:p w14:paraId="1D02E29B">
      <w:pPr>
        <w:pStyle w:val="21"/>
        <w:spacing w:line="360" w:lineRule="auto"/>
        <w:ind w:left="25" w:leftChars="12" w:firstLine="413" w:firstLineChars="197"/>
        <w:rPr>
          <w:rFonts w:hAnsi="宋体"/>
          <w:sz w:val="21"/>
        </w:rPr>
      </w:pPr>
      <w:r>
        <w:rPr>
          <w:rFonts w:hint="eastAsia" w:hAnsi="宋体"/>
          <w:bCs/>
          <w:sz w:val="21"/>
        </w:rPr>
        <w:t>采购</w:t>
      </w:r>
      <w:r>
        <w:rPr>
          <w:rFonts w:hint="eastAsia" w:hAnsi="宋体"/>
          <w:sz w:val="21"/>
        </w:rPr>
        <w:t>项目的编号：</w:t>
      </w:r>
      <w:r>
        <w:rPr>
          <w:rFonts w:hint="eastAsia" w:hAnsi="宋体"/>
          <w:bCs/>
          <w:sz w:val="21"/>
          <w:u w:val="single"/>
        </w:rPr>
        <w:t xml:space="preserve">                                          </w:t>
      </w:r>
    </w:p>
    <w:p w14:paraId="69B1A6FC">
      <w:pPr>
        <w:pStyle w:val="21"/>
        <w:spacing w:line="360" w:lineRule="auto"/>
        <w:ind w:left="25" w:leftChars="12" w:firstLine="413" w:firstLineChars="197"/>
        <w:rPr>
          <w:rFonts w:hAnsi="宋体"/>
          <w:bCs/>
          <w:sz w:val="21"/>
          <w:u w:val="single"/>
        </w:rPr>
      </w:pPr>
      <w:r>
        <w:rPr>
          <w:rFonts w:hint="eastAsia" w:hAnsi="宋体"/>
          <w:sz w:val="21"/>
        </w:rPr>
        <w:t>采购人名称：</w:t>
      </w:r>
      <w:r>
        <w:rPr>
          <w:rFonts w:hint="eastAsia" w:hAnsi="宋体"/>
          <w:bCs/>
          <w:sz w:val="21"/>
          <w:u w:val="single"/>
        </w:rPr>
        <w:t xml:space="preserve">                                                                        </w:t>
      </w:r>
    </w:p>
    <w:p w14:paraId="1004BD37">
      <w:pPr>
        <w:pStyle w:val="21"/>
        <w:spacing w:line="360" w:lineRule="auto"/>
        <w:ind w:left="25" w:leftChars="12" w:firstLine="413" w:firstLineChars="197"/>
        <w:rPr>
          <w:rFonts w:hAnsi="宋体"/>
          <w:bCs/>
          <w:sz w:val="21"/>
          <w:u w:val="single"/>
        </w:rPr>
      </w:pPr>
      <w:r>
        <w:rPr>
          <w:rFonts w:hint="eastAsia" w:hAnsi="宋体"/>
          <w:sz w:val="21"/>
        </w:rPr>
        <w:t>代理机构名称：</w:t>
      </w:r>
      <w:r>
        <w:rPr>
          <w:rFonts w:hint="eastAsia" w:hAnsi="宋体"/>
          <w:bCs/>
          <w:sz w:val="21"/>
          <w:u w:val="single"/>
        </w:rPr>
        <w:t xml:space="preserve">                                                                      </w:t>
      </w:r>
    </w:p>
    <w:p w14:paraId="0BE37631">
      <w:pPr>
        <w:pStyle w:val="21"/>
        <w:spacing w:line="360" w:lineRule="auto"/>
        <w:ind w:left="25" w:leftChars="12" w:firstLine="413" w:firstLineChars="197"/>
        <w:rPr>
          <w:rFonts w:hAnsi="宋体"/>
          <w:bCs/>
          <w:sz w:val="21"/>
          <w:u w:val="single"/>
        </w:rPr>
      </w:pPr>
      <w:r>
        <w:rPr>
          <w:rFonts w:hint="eastAsia" w:hAnsi="宋体"/>
          <w:bCs/>
          <w:sz w:val="21"/>
        </w:rPr>
        <w:t>招标文件公告：</w:t>
      </w:r>
      <w:r>
        <w:rPr>
          <w:rFonts w:hint="eastAsia" w:hAnsi="宋体"/>
          <w:bCs/>
          <w:sz w:val="21"/>
          <w:u w:val="single"/>
        </w:rPr>
        <w:t>是/否</w:t>
      </w:r>
      <w:r>
        <w:rPr>
          <w:rFonts w:hint="eastAsia" w:hAnsi="宋体"/>
          <w:bCs/>
          <w:sz w:val="21"/>
        </w:rPr>
        <w:t>公告期限：</w:t>
      </w:r>
      <w:r>
        <w:rPr>
          <w:rFonts w:hint="eastAsia" w:hAnsi="宋体"/>
          <w:bCs/>
          <w:sz w:val="21"/>
          <w:u w:val="single"/>
        </w:rPr>
        <w:t xml:space="preserve">                                                       </w:t>
      </w:r>
    </w:p>
    <w:p w14:paraId="7BBE59CC">
      <w:pPr>
        <w:pStyle w:val="21"/>
        <w:spacing w:line="360" w:lineRule="auto"/>
        <w:ind w:left="25" w:leftChars="12" w:firstLine="413" w:firstLineChars="197"/>
        <w:rPr>
          <w:rFonts w:hAnsi="宋体"/>
          <w:b/>
          <w:sz w:val="21"/>
        </w:rPr>
      </w:pPr>
      <w:r>
        <w:rPr>
          <w:rFonts w:hint="eastAsia" w:hAnsi="宋体"/>
          <w:bCs/>
          <w:sz w:val="21"/>
        </w:rPr>
        <w:t>采购结果公告：</w:t>
      </w:r>
      <w:r>
        <w:rPr>
          <w:rFonts w:hint="eastAsia" w:hAnsi="宋体"/>
          <w:bCs/>
          <w:sz w:val="21"/>
          <w:u w:val="single"/>
        </w:rPr>
        <w:t>是/否</w:t>
      </w:r>
      <w:r>
        <w:rPr>
          <w:rFonts w:hint="eastAsia" w:hAnsi="宋体"/>
          <w:bCs/>
          <w:sz w:val="21"/>
        </w:rPr>
        <w:t>公告期限：</w:t>
      </w:r>
      <w:r>
        <w:rPr>
          <w:rFonts w:hint="eastAsia" w:hAnsi="宋体"/>
          <w:bCs/>
          <w:sz w:val="21"/>
          <w:u w:val="single"/>
        </w:rPr>
        <w:t xml:space="preserve">                                                       </w:t>
      </w:r>
    </w:p>
    <w:p w14:paraId="7AFFB0B7">
      <w:pPr>
        <w:pStyle w:val="21"/>
        <w:spacing w:line="360" w:lineRule="auto"/>
        <w:ind w:left="25" w:leftChars="12" w:firstLine="413" w:firstLineChars="196"/>
        <w:rPr>
          <w:rFonts w:hAnsi="宋体"/>
          <w:b/>
          <w:sz w:val="21"/>
        </w:rPr>
      </w:pPr>
      <w:r>
        <w:rPr>
          <w:rFonts w:hint="eastAsia" w:hAnsi="宋体"/>
          <w:b/>
          <w:sz w:val="21"/>
        </w:rPr>
        <w:t>三、质疑基本情况</w:t>
      </w:r>
    </w:p>
    <w:p w14:paraId="0DF3E8F4">
      <w:pPr>
        <w:pStyle w:val="21"/>
        <w:spacing w:line="360" w:lineRule="auto"/>
        <w:ind w:left="25" w:leftChars="12" w:firstLine="833" w:firstLineChars="397"/>
        <w:rPr>
          <w:rFonts w:hAnsi="宋体"/>
          <w:sz w:val="21"/>
        </w:rPr>
      </w:pPr>
      <w:r>
        <w:rPr>
          <w:rFonts w:hint="eastAsia" w:hAnsi="宋体"/>
          <w:sz w:val="21"/>
        </w:rPr>
        <w:t>投诉人于</w:t>
      </w:r>
      <w:r>
        <w:rPr>
          <w:rFonts w:hint="eastAsia" w:hAnsi="宋体"/>
          <w:sz w:val="21"/>
          <w:u w:val="single"/>
        </w:rPr>
        <w:t xml:space="preserve">      </w:t>
      </w:r>
      <w:r>
        <w:rPr>
          <w:rFonts w:hint="eastAsia" w:hAnsi="宋体"/>
          <w:sz w:val="21"/>
        </w:rPr>
        <w:t>年</w:t>
      </w:r>
      <w:r>
        <w:rPr>
          <w:rFonts w:hint="eastAsia" w:hAnsi="宋体"/>
          <w:sz w:val="21"/>
          <w:u w:val="single"/>
        </w:rPr>
        <w:t xml:space="preserve">   </w:t>
      </w:r>
      <w:r>
        <w:rPr>
          <w:rFonts w:hint="eastAsia" w:hAnsi="宋体"/>
          <w:sz w:val="21"/>
        </w:rPr>
        <w:t>月</w:t>
      </w:r>
      <w:r>
        <w:rPr>
          <w:rFonts w:hint="eastAsia" w:hAnsi="宋体"/>
          <w:sz w:val="21"/>
          <w:u w:val="single"/>
        </w:rPr>
        <w:t xml:space="preserve">   </w:t>
      </w:r>
      <w:r>
        <w:rPr>
          <w:rFonts w:hint="eastAsia" w:hAnsi="宋体"/>
          <w:sz w:val="21"/>
        </w:rPr>
        <w:t>日，向</w:t>
      </w:r>
      <w:r>
        <w:rPr>
          <w:rFonts w:hint="eastAsia" w:hAnsi="宋体"/>
          <w:sz w:val="21"/>
          <w:u w:val="single"/>
        </w:rPr>
        <w:t xml:space="preserve">                                </w:t>
      </w:r>
      <w:r>
        <w:rPr>
          <w:rFonts w:hint="eastAsia" w:hAnsi="宋体"/>
          <w:sz w:val="21"/>
        </w:rPr>
        <w:t>提出质疑，质疑事项为：</w:t>
      </w:r>
    </w:p>
    <w:p w14:paraId="61D15B7E">
      <w:pPr>
        <w:pStyle w:val="21"/>
        <w:spacing w:line="360" w:lineRule="auto"/>
        <w:ind w:firstLine="241"/>
        <w:rPr>
          <w:rFonts w:hAnsi="宋体"/>
          <w:bCs/>
          <w:sz w:val="21"/>
          <w:u w:val="single"/>
        </w:rPr>
      </w:pPr>
      <w:r>
        <w:rPr>
          <w:rFonts w:hint="eastAsia" w:hAnsi="宋体"/>
          <w:sz w:val="21"/>
        </w:rPr>
        <w:t xml:space="preserve">    </w:t>
      </w:r>
      <w:r>
        <w:rPr>
          <w:rFonts w:hint="eastAsia" w:hAnsi="宋体"/>
          <w:bCs/>
          <w:sz w:val="21"/>
          <w:u w:val="single"/>
        </w:rPr>
        <w:t xml:space="preserve">                                                                                      </w:t>
      </w:r>
    </w:p>
    <w:p w14:paraId="53ADF566">
      <w:pPr>
        <w:pStyle w:val="21"/>
        <w:spacing w:line="360" w:lineRule="auto"/>
        <w:ind w:firstLine="241"/>
        <w:rPr>
          <w:rFonts w:hAnsi="宋体"/>
          <w:bCs/>
          <w:sz w:val="21"/>
          <w:u w:val="single"/>
        </w:rPr>
      </w:pPr>
      <w:r>
        <w:rPr>
          <w:rFonts w:hint="eastAsia" w:hAnsi="宋体"/>
          <w:bCs/>
          <w:sz w:val="21"/>
        </w:rPr>
        <w:t xml:space="preserve">    </w:t>
      </w:r>
      <w:r>
        <w:rPr>
          <w:rFonts w:hint="eastAsia" w:hAnsi="宋体"/>
          <w:bCs/>
          <w:sz w:val="21"/>
          <w:u w:val="single"/>
        </w:rPr>
        <w:t xml:space="preserve">                                                                                      </w:t>
      </w:r>
    </w:p>
    <w:p w14:paraId="045F5E43">
      <w:pPr>
        <w:pStyle w:val="21"/>
        <w:spacing w:line="360" w:lineRule="auto"/>
        <w:ind w:firstLine="241"/>
        <w:rPr>
          <w:rFonts w:hAnsi="宋体"/>
          <w:sz w:val="21"/>
        </w:rPr>
      </w:pPr>
      <w:r>
        <w:rPr>
          <w:rFonts w:hint="eastAsia" w:hAnsi="宋体"/>
          <w:bCs/>
          <w:sz w:val="21"/>
        </w:rPr>
        <w:t xml:space="preserve">        </w:t>
      </w:r>
      <w:r>
        <w:rPr>
          <w:rFonts w:hint="eastAsia" w:hAnsi="宋体"/>
          <w:bCs/>
          <w:sz w:val="21"/>
          <w:u w:val="single"/>
        </w:rPr>
        <w:t>采购人/代理机构</w:t>
      </w:r>
      <w:r>
        <w:rPr>
          <w:rFonts w:hint="eastAsia" w:hAnsi="宋体"/>
          <w:bCs/>
          <w:sz w:val="21"/>
        </w:rPr>
        <w:t>于</w:t>
      </w:r>
      <w:r>
        <w:rPr>
          <w:rFonts w:hint="eastAsia" w:hAnsi="宋体"/>
          <w:sz w:val="21"/>
          <w:u w:val="single"/>
        </w:rPr>
        <w:t xml:space="preserve">      </w:t>
      </w:r>
      <w:r>
        <w:rPr>
          <w:rFonts w:hint="eastAsia" w:hAnsi="宋体"/>
          <w:sz w:val="21"/>
        </w:rPr>
        <w:t>年</w:t>
      </w:r>
      <w:r>
        <w:rPr>
          <w:rFonts w:hint="eastAsia" w:hAnsi="宋体"/>
          <w:sz w:val="21"/>
          <w:u w:val="single"/>
        </w:rPr>
        <w:t xml:space="preserve">   </w:t>
      </w:r>
      <w:r>
        <w:rPr>
          <w:rFonts w:hint="eastAsia" w:hAnsi="宋体"/>
          <w:sz w:val="21"/>
        </w:rPr>
        <w:t>月</w:t>
      </w:r>
      <w:r>
        <w:rPr>
          <w:rFonts w:hint="eastAsia" w:hAnsi="宋体"/>
          <w:sz w:val="21"/>
          <w:u w:val="single"/>
        </w:rPr>
        <w:t xml:space="preserve">   </w:t>
      </w:r>
      <w:r>
        <w:rPr>
          <w:rFonts w:hint="eastAsia" w:hAnsi="宋体"/>
          <w:sz w:val="21"/>
        </w:rPr>
        <w:t>日，</w:t>
      </w:r>
      <w:r>
        <w:rPr>
          <w:rFonts w:hint="eastAsia" w:hAnsi="宋体"/>
          <w:bCs/>
          <w:sz w:val="21"/>
        </w:rPr>
        <w:t xml:space="preserve">就质疑事项作出了答复/没有在法定期限内作出答复。                                                                                             </w:t>
      </w:r>
    </w:p>
    <w:p w14:paraId="5CAA46D1">
      <w:pPr>
        <w:pStyle w:val="21"/>
        <w:spacing w:line="360" w:lineRule="auto"/>
        <w:ind w:left="25" w:leftChars="12" w:firstLine="413" w:firstLineChars="196"/>
        <w:rPr>
          <w:rFonts w:hAnsi="宋体"/>
          <w:b/>
          <w:sz w:val="21"/>
        </w:rPr>
      </w:pPr>
      <w:r>
        <w:rPr>
          <w:rFonts w:hint="eastAsia" w:hAnsi="宋体"/>
          <w:b/>
          <w:sz w:val="21"/>
        </w:rPr>
        <w:t>四、投诉事项具体内容</w:t>
      </w:r>
    </w:p>
    <w:p w14:paraId="0AB5DCF3">
      <w:pPr>
        <w:pStyle w:val="21"/>
        <w:spacing w:line="360" w:lineRule="auto"/>
        <w:ind w:left="25" w:leftChars="12" w:firstLine="413" w:firstLineChars="197"/>
        <w:rPr>
          <w:rFonts w:hAnsi="宋体"/>
          <w:bCs/>
          <w:sz w:val="21"/>
          <w:u w:val="single"/>
        </w:rPr>
      </w:pPr>
      <w:r>
        <w:rPr>
          <w:rFonts w:hint="eastAsia" w:hAnsi="宋体"/>
          <w:sz w:val="21"/>
        </w:rPr>
        <w:t>投诉事项1：</w:t>
      </w:r>
      <w:r>
        <w:rPr>
          <w:rFonts w:hint="eastAsia" w:hAnsi="宋体"/>
          <w:bCs/>
          <w:sz w:val="21"/>
          <w:u w:val="single"/>
        </w:rPr>
        <w:t xml:space="preserve">                                                                           </w:t>
      </w:r>
    </w:p>
    <w:p w14:paraId="73FD6947">
      <w:pPr>
        <w:pStyle w:val="21"/>
        <w:spacing w:line="360" w:lineRule="auto"/>
        <w:ind w:firstLine="420" w:firstLineChars="200"/>
        <w:rPr>
          <w:rFonts w:hAnsi="宋体"/>
          <w:bCs/>
          <w:sz w:val="21"/>
          <w:u w:val="single"/>
        </w:rPr>
      </w:pPr>
      <w:r>
        <w:rPr>
          <w:rFonts w:hint="eastAsia" w:hAnsi="宋体"/>
          <w:bCs/>
          <w:sz w:val="21"/>
        </w:rPr>
        <w:t>事实依据：</w:t>
      </w:r>
      <w:r>
        <w:rPr>
          <w:rFonts w:hint="eastAsia" w:hAnsi="宋体"/>
          <w:sz w:val="21"/>
        </w:rPr>
        <w:t xml:space="preserve"> </w:t>
      </w:r>
      <w:r>
        <w:rPr>
          <w:rFonts w:hint="eastAsia" w:hAnsi="宋体"/>
          <w:bCs/>
          <w:sz w:val="21"/>
          <w:u w:val="single"/>
        </w:rPr>
        <w:t xml:space="preserve">                                                                                      </w:t>
      </w:r>
    </w:p>
    <w:p w14:paraId="54265F65">
      <w:pPr>
        <w:pStyle w:val="21"/>
        <w:spacing w:line="360" w:lineRule="auto"/>
        <w:ind w:left="25" w:leftChars="12" w:firstLine="413" w:firstLineChars="197"/>
        <w:rPr>
          <w:rFonts w:hAnsi="宋体"/>
          <w:sz w:val="21"/>
        </w:rPr>
      </w:pPr>
      <w:r>
        <w:rPr>
          <w:rFonts w:hint="eastAsia" w:hAnsi="宋体"/>
          <w:bCs/>
          <w:sz w:val="21"/>
          <w:u w:val="single"/>
        </w:rPr>
        <w:t xml:space="preserve">                                                                                        </w:t>
      </w:r>
    </w:p>
    <w:p w14:paraId="07B7EC3F">
      <w:pPr>
        <w:pStyle w:val="21"/>
        <w:spacing w:line="360" w:lineRule="auto"/>
        <w:ind w:firstLine="420" w:firstLineChars="200"/>
        <w:rPr>
          <w:rFonts w:hAnsi="宋体"/>
          <w:bCs/>
          <w:sz w:val="21"/>
          <w:u w:val="single"/>
        </w:rPr>
      </w:pPr>
      <w:r>
        <w:rPr>
          <w:rFonts w:hint="eastAsia" w:hAnsi="宋体"/>
          <w:bCs/>
          <w:sz w:val="21"/>
        </w:rPr>
        <w:t>法律依据：</w:t>
      </w:r>
      <w:r>
        <w:rPr>
          <w:rFonts w:hint="eastAsia" w:hAnsi="宋体"/>
          <w:sz w:val="21"/>
        </w:rPr>
        <w:t xml:space="preserve"> </w:t>
      </w:r>
      <w:r>
        <w:rPr>
          <w:rFonts w:hint="eastAsia" w:hAnsi="宋体"/>
          <w:bCs/>
          <w:sz w:val="21"/>
          <w:u w:val="single"/>
        </w:rPr>
        <w:t xml:space="preserve">                                                                                      </w:t>
      </w:r>
    </w:p>
    <w:p w14:paraId="07671360">
      <w:pPr>
        <w:pStyle w:val="21"/>
        <w:spacing w:line="360" w:lineRule="auto"/>
        <w:ind w:left="25" w:leftChars="12" w:firstLine="308" w:firstLineChars="147"/>
        <w:rPr>
          <w:rFonts w:hAnsi="宋体"/>
          <w:bCs/>
          <w:sz w:val="21"/>
          <w:u w:val="single"/>
        </w:rPr>
      </w:pPr>
      <w:r>
        <w:rPr>
          <w:rFonts w:hint="eastAsia" w:hAnsi="宋体"/>
          <w:bCs/>
          <w:sz w:val="21"/>
        </w:rPr>
        <w:t xml:space="preserve"> </w:t>
      </w:r>
      <w:r>
        <w:rPr>
          <w:rFonts w:hint="eastAsia" w:hAnsi="宋体"/>
          <w:bCs/>
          <w:sz w:val="21"/>
          <w:u w:val="single"/>
        </w:rPr>
        <w:t xml:space="preserve">                                                                                        </w:t>
      </w:r>
    </w:p>
    <w:p w14:paraId="02600D92">
      <w:pPr>
        <w:pStyle w:val="21"/>
        <w:spacing w:line="360" w:lineRule="auto"/>
        <w:ind w:left="25" w:leftChars="12" w:firstLine="413" w:firstLineChars="197"/>
        <w:rPr>
          <w:rFonts w:hAnsi="宋体"/>
          <w:bCs/>
          <w:sz w:val="21"/>
        </w:rPr>
      </w:pPr>
      <w:r>
        <w:rPr>
          <w:rFonts w:hint="eastAsia" w:hAnsi="宋体"/>
          <w:sz w:val="21"/>
        </w:rPr>
        <w:t xml:space="preserve">投诉事项2  </w:t>
      </w:r>
      <w:r>
        <w:rPr>
          <w:rFonts w:hint="eastAsia" w:hAnsi="宋体"/>
          <w:bCs/>
          <w:sz w:val="21"/>
        </w:rPr>
        <w:t xml:space="preserve">   </w:t>
      </w:r>
    </w:p>
    <w:p w14:paraId="0B63DD40">
      <w:pPr>
        <w:pStyle w:val="21"/>
        <w:spacing w:line="360" w:lineRule="auto"/>
        <w:ind w:left="25" w:leftChars="12" w:firstLine="413" w:firstLineChars="197"/>
        <w:rPr>
          <w:rFonts w:hAnsi="宋体"/>
          <w:bCs/>
          <w:sz w:val="21"/>
        </w:rPr>
      </w:pPr>
      <w:r>
        <w:rPr>
          <w:rFonts w:hAnsi="宋体"/>
          <w:bCs/>
          <w:sz w:val="21"/>
        </w:rPr>
        <w:t>……</w:t>
      </w:r>
    </w:p>
    <w:p w14:paraId="5F15DAAD">
      <w:pPr>
        <w:pStyle w:val="21"/>
        <w:spacing w:line="360" w:lineRule="auto"/>
        <w:ind w:left="25" w:leftChars="12" w:firstLine="413" w:firstLineChars="196"/>
        <w:rPr>
          <w:rFonts w:hAnsi="宋体"/>
          <w:b/>
          <w:sz w:val="21"/>
        </w:rPr>
      </w:pPr>
      <w:r>
        <w:rPr>
          <w:rFonts w:hint="eastAsia" w:hAnsi="宋体"/>
          <w:b/>
          <w:sz w:val="21"/>
        </w:rPr>
        <w:t>五、与投诉事项相关的投诉请求：</w:t>
      </w:r>
    </w:p>
    <w:p w14:paraId="55EFFCFC">
      <w:pPr>
        <w:pStyle w:val="21"/>
        <w:spacing w:line="360" w:lineRule="auto"/>
        <w:ind w:left="25" w:leftChars="12" w:firstLine="413" w:firstLineChars="197"/>
        <w:rPr>
          <w:rFonts w:hAnsi="宋体"/>
          <w:sz w:val="21"/>
        </w:rPr>
      </w:pPr>
      <w:r>
        <w:rPr>
          <w:rFonts w:hint="eastAsia" w:hAnsi="宋体"/>
          <w:sz w:val="21"/>
        </w:rPr>
        <w:t>请求：</w:t>
      </w:r>
      <w:r>
        <w:rPr>
          <w:rFonts w:hint="eastAsia" w:hAnsi="宋体"/>
          <w:bCs/>
          <w:sz w:val="21"/>
          <w:u w:val="single"/>
        </w:rPr>
        <w:t xml:space="preserve">                                                                                 </w:t>
      </w:r>
    </w:p>
    <w:p w14:paraId="3B96DE1C">
      <w:pPr>
        <w:pStyle w:val="21"/>
        <w:spacing w:line="360" w:lineRule="auto"/>
        <w:ind w:left="25" w:leftChars="12" w:firstLine="308" w:firstLineChars="147"/>
        <w:rPr>
          <w:rFonts w:hAnsi="宋体"/>
          <w:sz w:val="21"/>
        </w:rPr>
      </w:pPr>
    </w:p>
    <w:p w14:paraId="0FDD69F0">
      <w:pPr>
        <w:pStyle w:val="21"/>
        <w:spacing w:line="360" w:lineRule="auto"/>
        <w:ind w:left="25" w:leftChars="12" w:firstLine="413" w:firstLineChars="197"/>
        <w:rPr>
          <w:rFonts w:hAnsi="宋体"/>
          <w:sz w:val="21"/>
        </w:rPr>
      </w:pPr>
      <w:r>
        <w:rPr>
          <w:rFonts w:hint="eastAsia" w:hAnsi="宋体"/>
          <w:sz w:val="21"/>
        </w:rPr>
        <w:t>签字（签章）：                                       公章：</w:t>
      </w:r>
    </w:p>
    <w:p w14:paraId="553686C6">
      <w:pPr>
        <w:pStyle w:val="21"/>
        <w:spacing w:line="360" w:lineRule="auto"/>
        <w:ind w:left="25" w:leftChars="12" w:firstLine="308" w:firstLineChars="147"/>
        <w:rPr>
          <w:rFonts w:hAnsi="宋体"/>
          <w:sz w:val="21"/>
        </w:rPr>
      </w:pPr>
    </w:p>
    <w:p w14:paraId="4653DC4B">
      <w:pPr>
        <w:pStyle w:val="21"/>
        <w:spacing w:line="360" w:lineRule="auto"/>
        <w:ind w:left="25" w:leftChars="12" w:firstLine="413" w:firstLineChars="197"/>
        <w:rPr>
          <w:rFonts w:hAnsi="宋体"/>
          <w:sz w:val="21"/>
        </w:rPr>
      </w:pPr>
      <w:r>
        <w:rPr>
          <w:rFonts w:hint="eastAsia" w:hAnsi="宋体"/>
          <w:sz w:val="21"/>
        </w:rPr>
        <w:t>日期：</w:t>
      </w:r>
    </w:p>
    <w:p w14:paraId="60442D7C">
      <w:pPr>
        <w:pStyle w:val="21"/>
        <w:spacing w:line="360" w:lineRule="auto"/>
        <w:ind w:left="25" w:leftChars="12" w:firstLine="413" w:firstLineChars="197"/>
        <w:rPr>
          <w:rFonts w:hAnsi="宋体"/>
          <w:sz w:val="21"/>
        </w:rPr>
      </w:pPr>
      <w:r>
        <w:rPr>
          <w:rFonts w:hint="eastAsia" w:hAnsi="宋体"/>
          <w:bCs/>
          <w:sz w:val="21"/>
        </w:rPr>
        <w:t xml:space="preserve">                                                                                 </w:t>
      </w:r>
    </w:p>
    <w:p w14:paraId="531F92FD">
      <w:pPr>
        <w:pStyle w:val="21"/>
        <w:snapToGrid w:val="0"/>
        <w:spacing w:line="360" w:lineRule="auto"/>
        <w:rPr>
          <w:rFonts w:hAnsi="宋体"/>
          <w:b/>
          <w:sz w:val="21"/>
        </w:rPr>
      </w:pPr>
    </w:p>
    <w:p w14:paraId="073DBD77">
      <w:pPr>
        <w:pStyle w:val="21"/>
        <w:snapToGrid w:val="0"/>
        <w:spacing w:line="360" w:lineRule="auto"/>
        <w:rPr>
          <w:rFonts w:hAnsi="宋体"/>
          <w:b/>
          <w:sz w:val="21"/>
        </w:rPr>
      </w:pPr>
      <w:r>
        <w:rPr>
          <w:rFonts w:hint="eastAsia" w:hAnsi="宋体"/>
          <w:b/>
          <w:sz w:val="21"/>
        </w:rPr>
        <w:t>说明：</w:t>
      </w:r>
    </w:p>
    <w:p w14:paraId="00F3DB45">
      <w:pPr>
        <w:pStyle w:val="21"/>
        <w:spacing w:line="360" w:lineRule="auto"/>
        <w:ind w:left="25" w:leftChars="12" w:firstLine="310" w:firstLineChars="147"/>
        <w:rPr>
          <w:rFonts w:hAnsi="宋体"/>
          <w:b/>
          <w:bCs/>
          <w:sz w:val="21"/>
        </w:rPr>
      </w:pPr>
      <w:r>
        <w:rPr>
          <w:rFonts w:hint="eastAsia" w:hAnsi="宋体"/>
          <w:b/>
          <w:sz w:val="21"/>
        </w:rPr>
        <w:t>1.投诉人提起投诉时，应当提交投诉书和必要的证明材料，并按照被投诉人和与投诉事项有关的供应商数量提供投诉书副本</w:t>
      </w:r>
      <w:r>
        <w:rPr>
          <w:rFonts w:hint="eastAsia" w:hAnsi="宋体"/>
          <w:b/>
          <w:bCs/>
          <w:sz w:val="21"/>
        </w:rPr>
        <w:t>。</w:t>
      </w:r>
    </w:p>
    <w:p w14:paraId="6B1D5D0D">
      <w:pPr>
        <w:pStyle w:val="21"/>
        <w:spacing w:line="360" w:lineRule="auto"/>
        <w:ind w:left="25" w:leftChars="12" w:firstLine="310" w:firstLineChars="147"/>
        <w:rPr>
          <w:rFonts w:hAnsi="宋体"/>
          <w:b/>
          <w:sz w:val="21"/>
        </w:rPr>
      </w:pPr>
      <w:r>
        <w:rPr>
          <w:rFonts w:hint="eastAsia" w:hAnsi="宋体"/>
          <w:b/>
          <w:sz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23FE619">
      <w:pPr>
        <w:pStyle w:val="21"/>
        <w:spacing w:line="360" w:lineRule="auto"/>
        <w:ind w:left="25" w:leftChars="12" w:firstLine="310" w:firstLineChars="147"/>
        <w:rPr>
          <w:rFonts w:hAnsi="宋体"/>
          <w:b/>
          <w:sz w:val="21"/>
        </w:rPr>
      </w:pPr>
      <w:r>
        <w:rPr>
          <w:rFonts w:hint="eastAsia" w:hAnsi="宋体"/>
          <w:b/>
          <w:sz w:val="21"/>
        </w:rPr>
        <w:t>3.投诉书应简要列明质疑事项，质疑函、质疑答复等作为附件材料提供。</w:t>
      </w:r>
    </w:p>
    <w:p w14:paraId="47F803DA">
      <w:pPr>
        <w:pStyle w:val="21"/>
        <w:spacing w:line="360" w:lineRule="auto"/>
        <w:ind w:left="25" w:leftChars="12" w:firstLine="310" w:firstLineChars="147"/>
        <w:rPr>
          <w:rFonts w:hAnsi="宋体"/>
          <w:b/>
          <w:sz w:val="21"/>
        </w:rPr>
      </w:pPr>
      <w:r>
        <w:rPr>
          <w:rFonts w:hint="eastAsia" w:hAnsi="宋体"/>
          <w:b/>
          <w:sz w:val="21"/>
        </w:rPr>
        <w:t>4.投诉书的投诉事项应具体、明确，并有必要的事实依据和法律依据。</w:t>
      </w:r>
    </w:p>
    <w:p w14:paraId="40097C32">
      <w:pPr>
        <w:pStyle w:val="21"/>
        <w:spacing w:line="360" w:lineRule="auto"/>
        <w:ind w:left="25" w:leftChars="12" w:firstLine="310" w:firstLineChars="147"/>
        <w:rPr>
          <w:rFonts w:hAnsi="宋体"/>
          <w:b/>
          <w:sz w:val="21"/>
        </w:rPr>
      </w:pPr>
      <w:r>
        <w:rPr>
          <w:rFonts w:hint="eastAsia" w:hAnsi="宋体"/>
          <w:b/>
          <w:sz w:val="21"/>
        </w:rPr>
        <w:t>5.投诉书的投诉请求应与投诉事项相关。</w:t>
      </w:r>
    </w:p>
    <w:p w14:paraId="3BB4F06A">
      <w:pPr>
        <w:pStyle w:val="21"/>
        <w:spacing w:line="360" w:lineRule="auto"/>
        <w:ind w:left="25" w:leftChars="12" w:firstLine="310" w:firstLineChars="147"/>
        <w:rPr>
          <w:rFonts w:hAnsi="宋体"/>
          <w:b/>
        </w:rPr>
      </w:pPr>
      <w:r>
        <w:rPr>
          <w:rFonts w:hint="eastAsia" w:hAnsi="宋体"/>
          <w:b/>
          <w:sz w:val="21"/>
        </w:rPr>
        <w:t>6.投诉人为法人或者其他组织的，投诉书应由法定代表人、主要负责人，或者其授权代表签字或者盖章，并加盖公章。</w:t>
      </w:r>
    </w:p>
    <w:p w14:paraId="34DA28A5">
      <w:pPr>
        <w:spacing w:line="360" w:lineRule="auto"/>
        <w:rPr>
          <w:rFonts w:ascii="仿宋_GB2312" w:hAnsi="仿宋_GB2312" w:eastAsia="仿宋_GB2312" w:cs="仿宋_GB2312"/>
          <w:sz w:val="32"/>
          <w:szCs w:val="32"/>
        </w:rPr>
      </w:pPr>
    </w:p>
    <w:p w14:paraId="1321B1F4">
      <w:pPr>
        <w:spacing w:line="520" w:lineRule="exact"/>
        <w:rPr>
          <w:rFonts w:ascii="仿宋_GB2312" w:hAnsi="仿宋_GB2312" w:eastAsia="仿宋_GB2312" w:cs="仿宋_GB2312"/>
          <w:sz w:val="32"/>
          <w:szCs w:val="32"/>
        </w:rPr>
      </w:pPr>
    </w:p>
    <w:p w14:paraId="6092FD1F"/>
    <w:p w14:paraId="669C4329">
      <w:pPr>
        <w:pStyle w:val="2"/>
      </w:pPr>
      <w:bookmarkStart w:id="197" w:name="_Toc29054"/>
      <w:bookmarkStart w:id="198" w:name="_Toc73550046"/>
      <w:bookmarkStart w:id="199" w:name="_Toc136592403"/>
      <w:r>
        <w:rPr>
          <w:rFonts w:hint="eastAsia"/>
        </w:rPr>
        <w:t>第六章 拟定的合同文本</w:t>
      </w:r>
      <w:bookmarkEnd w:id="97"/>
      <w:bookmarkEnd w:id="197"/>
      <w:bookmarkEnd w:id="198"/>
      <w:bookmarkEnd w:id="199"/>
    </w:p>
    <w:p w14:paraId="434EDDDB">
      <w:pPr>
        <w:snapToGrid w:val="0"/>
        <w:spacing w:line="420" w:lineRule="exact"/>
        <w:jc w:val="center"/>
        <w:rPr>
          <w:rFonts w:ascii="黑体" w:hAnsi="黑体" w:eastAsia="黑体"/>
          <w:b/>
          <w:sz w:val="44"/>
          <w:szCs w:val="44"/>
        </w:rPr>
      </w:pPr>
      <w:r>
        <w:rPr>
          <w:rFonts w:hint="eastAsia" w:ascii="黑体" w:hAnsi="黑体" w:eastAsia="黑体"/>
          <w:b/>
          <w:sz w:val="44"/>
          <w:szCs w:val="44"/>
        </w:rPr>
        <w:t>采购合同</w:t>
      </w:r>
    </w:p>
    <w:p w14:paraId="0F3A42DC">
      <w:pPr>
        <w:wordWrap w:val="0"/>
        <w:snapToGrid w:val="0"/>
        <w:spacing w:line="420" w:lineRule="exact"/>
        <w:ind w:right="420"/>
        <w:jc w:val="right"/>
        <w:rPr>
          <w:rFonts w:ascii="宋体" w:hAnsi="宋体"/>
          <w:sz w:val="24"/>
          <w:u w:val="single"/>
        </w:rPr>
      </w:pPr>
      <w:r>
        <w:rPr>
          <w:rFonts w:hint="eastAsia" w:ascii="宋体" w:hAnsi="宋体"/>
          <w:bCs/>
          <w:sz w:val="24"/>
        </w:rPr>
        <w:t>合同编号：</w:t>
      </w:r>
      <w:r>
        <w:rPr>
          <w:rFonts w:hint="eastAsia" w:ascii="宋体" w:hAnsi="宋体"/>
          <w:bCs/>
          <w:sz w:val="24"/>
          <w:u w:val="single"/>
        </w:rPr>
        <w:t xml:space="preserve">    </w:t>
      </w:r>
      <w:r>
        <w:rPr>
          <w:rFonts w:hint="eastAsia" w:ascii="宋体" w:hAnsi="宋体"/>
          <w:sz w:val="24"/>
          <w:u w:val="single"/>
        </w:rPr>
        <w:t xml:space="preserve">    </w:t>
      </w:r>
    </w:p>
    <w:p w14:paraId="22D7D73C">
      <w:pPr>
        <w:snapToGrid w:val="0"/>
        <w:spacing w:line="420" w:lineRule="exact"/>
        <w:ind w:left="1723" w:hanging="1723" w:hangingChars="718"/>
        <w:rPr>
          <w:rFonts w:ascii="宋体" w:hAnsi="宋体"/>
          <w:sz w:val="24"/>
        </w:rPr>
      </w:pPr>
      <w:r>
        <w:rPr>
          <w:rFonts w:hint="eastAsia" w:ascii="宋体" w:hAnsi="宋体"/>
          <w:sz w:val="24"/>
        </w:rPr>
        <w:t>采购单位（甲方）：</w:t>
      </w:r>
      <w:r>
        <w:rPr>
          <w:rFonts w:hint="eastAsia" w:ascii="宋体" w:hAnsi="宋体"/>
          <w:sz w:val="24"/>
          <w:u w:val="single"/>
        </w:rPr>
        <w:t>广西经贸职业技术学院</w:t>
      </w:r>
    </w:p>
    <w:p w14:paraId="488427EF">
      <w:pPr>
        <w:snapToGrid w:val="0"/>
        <w:spacing w:line="420" w:lineRule="exact"/>
        <w:rPr>
          <w:rFonts w:ascii="宋体" w:hAnsi="宋体"/>
          <w:sz w:val="24"/>
          <w:u w:val="single"/>
        </w:rPr>
      </w:pPr>
      <w:r>
        <w:rPr>
          <w:rFonts w:hint="eastAsia" w:ascii="宋体" w:hAnsi="宋体"/>
          <w:sz w:val="24"/>
        </w:rPr>
        <w:t>供 应 商（乙方）：</w:t>
      </w:r>
      <w:r>
        <w:rPr>
          <w:rFonts w:hint="eastAsia" w:ascii="宋体" w:hAnsi="宋体"/>
          <w:sz w:val="24"/>
          <w:u w:val="single"/>
        </w:rPr>
        <w:t xml:space="preserve">        </w:t>
      </w:r>
    </w:p>
    <w:p w14:paraId="0C8B45F0">
      <w:pPr>
        <w:snapToGrid w:val="0"/>
        <w:spacing w:line="420" w:lineRule="exact"/>
        <w:ind w:left="1723" w:hanging="1723" w:hangingChars="718"/>
        <w:rPr>
          <w:rFonts w:ascii="宋体" w:hAnsi="宋体"/>
          <w:sz w:val="24"/>
        </w:rPr>
      </w:pPr>
    </w:p>
    <w:p w14:paraId="34E4584F">
      <w:pPr>
        <w:snapToGrid w:val="0"/>
        <w:spacing w:line="420" w:lineRule="exact"/>
        <w:ind w:left="1723" w:hanging="1723" w:hangingChars="718"/>
        <w:rPr>
          <w:rFonts w:ascii="宋体" w:hAnsi="宋体"/>
          <w:sz w:val="24"/>
          <w:u w:val="single"/>
        </w:rPr>
      </w:pPr>
      <w:r>
        <w:rPr>
          <w:rFonts w:hint="eastAsia" w:ascii="宋体" w:hAnsi="宋体"/>
          <w:sz w:val="24"/>
        </w:rPr>
        <w:t>项目名称：</w:t>
      </w:r>
      <w:r>
        <w:rPr>
          <w:rFonts w:hint="eastAsia" w:ascii="宋体" w:hAnsi="宋体"/>
          <w:sz w:val="24"/>
          <w:u w:val="single"/>
        </w:rPr>
        <w:t>网络营销与直播电商专业教学资源库</w:t>
      </w:r>
    </w:p>
    <w:p w14:paraId="397557B0">
      <w:pPr>
        <w:snapToGrid w:val="0"/>
        <w:spacing w:line="420" w:lineRule="exact"/>
        <w:ind w:left="1723" w:hanging="1723" w:hangingChars="718"/>
        <w:rPr>
          <w:rFonts w:ascii="宋体" w:hAnsi="宋体"/>
          <w:sz w:val="24"/>
        </w:rPr>
      </w:pPr>
      <w:r>
        <w:rPr>
          <w:rFonts w:hint="eastAsia" w:ascii="宋体" w:hAnsi="宋体"/>
          <w:sz w:val="24"/>
          <w:u w:val="single"/>
        </w:rPr>
        <w:t xml:space="preserve">一馆一中心一基地线上资源建设       </w:t>
      </w:r>
    </w:p>
    <w:p w14:paraId="77147855">
      <w:pPr>
        <w:snapToGrid w:val="0"/>
        <w:spacing w:line="420" w:lineRule="exact"/>
        <w:ind w:left="1723" w:hanging="1723" w:hangingChars="718"/>
        <w:rPr>
          <w:rFonts w:ascii="宋体" w:hAnsi="宋体"/>
          <w:sz w:val="24"/>
        </w:rPr>
      </w:pPr>
      <w:r>
        <w:rPr>
          <w:rFonts w:hint="eastAsia" w:ascii="宋体" w:hAnsi="宋体"/>
          <w:sz w:val="24"/>
        </w:rPr>
        <w:t>项目编号：</w:t>
      </w:r>
      <w:r>
        <w:rPr>
          <w:rFonts w:hint="eastAsia" w:ascii="宋体" w:hAnsi="宋体"/>
          <w:sz w:val="24"/>
          <w:u w:val="single"/>
        </w:rPr>
        <w:t xml:space="preserve">        </w:t>
      </w:r>
    </w:p>
    <w:p w14:paraId="4470A6C6">
      <w:pPr>
        <w:snapToGrid w:val="0"/>
        <w:spacing w:line="420" w:lineRule="exact"/>
        <w:rPr>
          <w:sz w:val="24"/>
        </w:rPr>
      </w:pPr>
    </w:p>
    <w:p w14:paraId="24814DFC">
      <w:pPr>
        <w:snapToGrid w:val="0"/>
        <w:spacing w:line="420" w:lineRule="exact"/>
        <w:ind w:left="1723" w:hanging="1723" w:hangingChars="718"/>
        <w:rPr>
          <w:rFonts w:ascii="宋体" w:hAnsi="宋体"/>
          <w:sz w:val="24"/>
        </w:rPr>
      </w:pPr>
      <w:r>
        <w:rPr>
          <w:rFonts w:hint="eastAsia" w:ascii="宋体" w:hAnsi="宋体"/>
          <w:sz w:val="24"/>
        </w:rPr>
        <w:t>签订地点：</w:t>
      </w:r>
      <w:r>
        <w:rPr>
          <w:rFonts w:hint="eastAsia" w:ascii="宋体" w:hAnsi="宋体"/>
          <w:sz w:val="24"/>
          <w:u w:val="single"/>
        </w:rPr>
        <w:t>广西经贸职业技术学院</w:t>
      </w:r>
      <w:r>
        <w:rPr>
          <w:rFonts w:hint="eastAsia" w:ascii="宋体" w:hAnsi="宋体"/>
          <w:sz w:val="24"/>
        </w:rPr>
        <w:t xml:space="preserve">                  签订时间：</w:t>
      </w:r>
      <w:r>
        <w:rPr>
          <w:rFonts w:hint="eastAsia" w:ascii="宋体" w:hAnsi="宋体"/>
          <w:sz w:val="24"/>
          <w:u w:val="single"/>
        </w:rPr>
        <w:t xml:space="preserve">2024年   </w:t>
      </w:r>
      <w:r>
        <w:rPr>
          <w:rFonts w:ascii="宋体" w:hAnsi="宋体"/>
          <w:sz w:val="24"/>
          <w:u w:val="single"/>
        </w:rPr>
        <w:t xml:space="preserve"> 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日</w:t>
      </w:r>
    </w:p>
    <w:p w14:paraId="6B8F4F5B">
      <w:pPr>
        <w:snapToGrid w:val="0"/>
        <w:spacing w:line="420" w:lineRule="exact"/>
        <w:ind w:left="1723" w:hanging="1723" w:hangingChars="718"/>
        <w:rPr>
          <w:rFonts w:ascii="宋体" w:hAnsi="宋体"/>
          <w:sz w:val="24"/>
        </w:rPr>
      </w:pPr>
    </w:p>
    <w:p w14:paraId="365AD609">
      <w:pPr>
        <w:snapToGrid w:val="0"/>
        <w:spacing w:line="420" w:lineRule="exact"/>
        <w:ind w:firstLine="480" w:firstLineChars="200"/>
        <w:rPr>
          <w:rFonts w:ascii="宋体" w:hAnsi="宋体"/>
          <w:sz w:val="24"/>
        </w:rPr>
      </w:pPr>
      <w:r>
        <w:rPr>
          <w:rFonts w:hint="eastAsia" w:ascii="宋体" w:hAnsi="宋体"/>
          <w:sz w:val="24"/>
        </w:rPr>
        <w:t>根据《中华人民共和国政府采购法》《中华人民共和国民法典》等法律、法规规定，按照采购文件规定条款和成交供应商承诺，甲乙双方签订本合同。</w:t>
      </w:r>
    </w:p>
    <w:p w14:paraId="2CA02F6D">
      <w:pPr>
        <w:snapToGrid w:val="0"/>
        <w:spacing w:line="420" w:lineRule="exact"/>
        <w:ind w:firstLine="482" w:firstLineChars="200"/>
        <w:rPr>
          <w:rFonts w:ascii="宋体" w:hAnsi="宋体"/>
          <w:b/>
          <w:sz w:val="24"/>
        </w:rPr>
      </w:pPr>
      <w:r>
        <w:rPr>
          <w:rFonts w:hint="eastAsia" w:ascii="宋体" w:hAnsi="宋体"/>
          <w:b/>
          <w:sz w:val="24"/>
        </w:rPr>
        <w:t>第一条  合同标的</w:t>
      </w:r>
    </w:p>
    <w:p w14:paraId="27715890">
      <w:pPr>
        <w:snapToGrid w:val="0"/>
        <w:spacing w:line="420" w:lineRule="exact"/>
        <w:ind w:firstLine="480" w:firstLineChars="200"/>
        <w:rPr>
          <w:rFonts w:ascii="宋体" w:hAnsi="宋体"/>
          <w:sz w:val="24"/>
        </w:rPr>
      </w:pPr>
      <w:r>
        <w:rPr>
          <w:rFonts w:hint="eastAsia" w:ascii="宋体" w:hAnsi="宋体"/>
          <w:sz w:val="24"/>
        </w:rPr>
        <w:t>1.采购内容一览表</w:t>
      </w:r>
    </w:p>
    <w:tbl>
      <w:tblPr>
        <w:tblStyle w:val="33"/>
        <w:tblW w:w="4995"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547"/>
        <w:gridCol w:w="1477"/>
        <w:gridCol w:w="1708"/>
        <w:gridCol w:w="1696"/>
        <w:gridCol w:w="1327"/>
        <w:gridCol w:w="1333"/>
      </w:tblGrid>
      <w:tr w14:paraId="74B1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317" w:type="pct"/>
            <w:tcBorders>
              <w:top w:val="single" w:color="auto" w:sz="4" w:space="0"/>
              <w:left w:val="single" w:color="auto" w:sz="4" w:space="0"/>
              <w:bottom w:val="single" w:color="auto" w:sz="4" w:space="0"/>
              <w:right w:val="single" w:color="auto" w:sz="4" w:space="0"/>
            </w:tcBorders>
            <w:vAlign w:val="center"/>
          </w:tcPr>
          <w:p w14:paraId="0297AF37">
            <w:pPr>
              <w:spacing w:line="360" w:lineRule="exact"/>
              <w:jc w:val="center"/>
              <w:rPr>
                <w:rFonts w:ascii="宋体" w:hAnsi="宋体" w:cs="仿宋_GB2312"/>
                <w:sz w:val="24"/>
              </w:rPr>
            </w:pPr>
            <w:r>
              <w:rPr>
                <w:rFonts w:hint="eastAsia" w:ascii="宋体" w:hAnsi="宋体" w:cs="仿宋_GB2312"/>
                <w:sz w:val="24"/>
              </w:rPr>
              <w:t>序号</w:t>
            </w:r>
          </w:p>
        </w:tc>
        <w:tc>
          <w:tcPr>
            <w:tcW w:w="797" w:type="pct"/>
            <w:tcBorders>
              <w:top w:val="single" w:color="auto" w:sz="4" w:space="0"/>
              <w:left w:val="single" w:color="auto" w:sz="4" w:space="0"/>
              <w:bottom w:val="single" w:color="auto" w:sz="4" w:space="0"/>
              <w:right w:val="single" w:color="auto" w:sz="4" w:space="0"/>
            </w:tcBorders>
            <w:vAlign w:val="center"/>
          </w:tcPr>
          <w:p w14:paraId="67E82E74">
            <w:pPr>
              <w:spacing w:line="360" w:lineRule="exact"/>
              <w:jc w:val="center"/>
              <w:rPr>
                <w:rFonts w:ascii="宋体" w:hAnsi="宋体" w:cs="仿宋_GB2312"/>
                <w:sz w:val="24"/>
              </w:rPr>
            </w:pPr>
            <w:r>
              <w:rPr>
                <w:rFonts w:hint="eastAsia" w:ascii="宋体" w:hAnsi="宋体" w:cs="仿宋_GB2312"/>
                <w:sz w:val="24"/>
              </w:rPr>
              <w:t>服务名称</w:t>
            </w:r>
          </w:p>
        </w:tc>
        <w:tc>
          <w:tcPr>
            <w:tcW w:w="761" w:type="pct"/>
            <w:tcBorders>
              <w:top w:val="single" w:color="auto" w:sz="4" w:space="0"/>
              <w:left w:val="single" w:color="auto" w:sz="4" w:space="0"/>
              <w:bottom w:val="single" w:color="auto" w:sz="4" w:space="0"/>
              <w:right w:val="single" w:color="auto" w:sz="4" w:space="0"/>
            </w:tcBorders>
            <w:vAlign w:val="center"/>
          </w:tcPr>
          <w:p w14:paraId="0EE15686">
            <w:pPr>
              <w:spacing w:line="360" w:lineRule="exact"/>
              <w:jc w:val="center"/>
              <w:rPr>
                <w:rFonts w:ascii="宋体" w:hAnsi="宋体" w:cs="仿宋_GB2312"/>
                <w:sz w:val="24"/>
              </w:rPr>
            </w:pPr>
            <w:r>
              <w:rPr>
                <w:rFonts w:hint="eastAsia" w:ascii="宋体" w:hAnsi="宋体" w:cs="仿宋_GB2312"/>
                <w:sz w:val="24"/>
              </w:rPr>
              <w:t>计量单位</w:t>
            </w:r>
          </w:p>
        </w:tc>
        <w:tc>
          <w:tcPr>
            <w:tcW w:w="878" w:type="pct"/>
            <w:tcBorders>
              <w:top w:val="single" w:color="auto" w:sz="4" w:space="0"/>
              <w:left w:val="single" w:color="auto" w:sz="4" w:space="0"/>
              <w:bottom w:val="single" w:color="auto" w:sz="4" w:space="0"/>
              <w:right w:val="single" w:color="auto" w:sz="4" w:space="0"/>
            </w:tcBorders>
            <w:vAlign w:val="center"/>
          </w:tcPr>
          <w:p w14:paraId="5E044846">
            <w:pPr>
              <w:spacing w:line="360" w:lineRule="exact"/>
              <w:jc w:val="center"/>
              <w:rPr>
                <w:rFonts w:ascii="宋体" w:hAnsi="宋体" w:cs="仿宋_GB2312"/>
                <w:sz w:val="24"/>
              </w:rPr>
            </w:pPr>
            <w:r>
              <w:rPr>
                <w:rFonts w:hint="eastAsia" w:ascii="宋体" w:hAnsi="宋体" w:cs="仿宋_GB2312"/>
                <w:sz w:val="24"/>
              </w:rPr>
              <w:t>数量</w:t>
            </w:r>
          </w:p>
        </w:tc>
        <w:tc>
          <w:tcPr>
            <w:tcW w:w="874" w:type="pct"/>
            <w:tcBorders>
              <w:top w:val="single" w:color="auto" w:sz="4" w:space="0"/>
              <w:left w:val="single" w:color="auto" w:sz="4" w:space="0"/>
              <w:bottom w:val="single" w:color="auto" w:sz="4" w:space="0"/>
              <w:right w:val="single" w:color="auto" w:sz="4" w:space="0"/>
            </w:tcBorders>
            <w:vAlign w:val="center"/>
          </w:tcPr>
          <w:p w14:paraId="6A0ABC17">
            <w:pPr>
              <w:widowControl/>
              <w:jc w:val="center"/>
              <w:textAlignment w:val="center"/>
              <w:rPr>
                <w:rFonts w:ascii="宋体" w:hAnsi="宋体" w:cs="仿宋_GB2312"/>
                <w:sz w:val="24"/>
              </w:rPr>
            </w:pPr>
            <w:r>
              <w:rPr>
                <w:rFonts w:hint="eastAsia" w:ascii="宋体" w:hAnsi="宋体" w:cs="宋体"/>
                <w:kern w:val="0"/>
                <w:sz w:val="24"/>
                <w:lang w:bidi="ar"/>
              </w:rPr>
              <w:t>单价（元）</w:t>
            </w:r>
          </w:p>
        </w:tc>
        <w:tc>
          <w:tcPr>
            <w:tcW w:w="684" w:type="pct"/>
            <w:tcBorders>
              <w:top w:val="single" w:color="auto" w:sz="4" w:space="0"/>
              <w:left w:val="single" w:color="auto" w:sz="4" w:space="0"/>
              <w:bottom w:val="single" w:color="auto" w:sz="4" w:space="0"/>
              <w:right w:val="single" w:color="auto" w:sz="4" w:space="0"/>
            </w:tcBorders>
            <w:vAlign w:val="center"/>
          </w:tcPr>
          <w:p w14:paraId="3999B462">
            <w:pPr>
              <w:widowControl/>
              <w:jc w:val="center"/>
              <w:textAlignment w:val="center"/>
              <w:rPr>
                <w:rFonts w:ascii="宋体" w:hAnsi="宋体" w:cs="仿宋_GB2312"/>
                <w:sz w:val="24"/>
              </w:rPr>
            </w:pPr>
            <w:r>
              <w:rPr>
                <w:rFonts w:hint="eastAsia" w:ascii="宋体" w:hAnsi="宋体" w:cs="宋体"/>
                <w:kern w:val="0"/>
                <w:sz w:val="24"/>
                <w:lang w:bidi="ar"/>
              </w:rPr>
              <w:t>小计（元）</w:t>
            </w:r>
          </w:p>
        </w:tc>
        <w:tc>
          <w:tcPr>
            <w:tcW w:w="685" w:type="pct"/>
            <w:tcBorders>
              <w:top w:val="single" w:color="auto" w:sz="4" w:space="0"/>
              <w:left w:val="single" w:color="auto" w:sz="4" w:space="0"/>
              <w:bottom w:val="single" w:color="auto" w:sz="4" w:space="0"/>
              <w:right w:val="single" w:color="auto" w:sz="4" w:space="0"/>
            </w:tcBorders>
            <w:vAlign w:val="center"/>
          </w:tcPr>
          <w:p w14:paraId="65BB859A">
            <w:pPr>
              <w:spacing w:line="360" w:lineRule="exact"/>
              <w:jc w:val="center"/>
              <w:rPr>
                <w:rFonts w:ascii="宋体" w:hAnsi="宋体" w:cs="仿宋_GB2312"/>
                <w:sz w:val="24"/>
              </w:rPr>
            </w:pPr>
            <w:r>
              <w:rPr>
                <w:rFonts w:hint="eastAsia" w:ascii="宋体" w:hAnsi="宋体" w:cs="仿宋_GB2312"/>
                <w:sz w:val="24"/>
              </w:rPr>
              <w:t>备注</w:t>
            </w:r>
          </w:p>
        </w:tc>
      </w:tr>
      <w:tr w14:paraId="7D30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317" w:type="pct"/>
            <w:tcBorders>
              <w:top w:val="single" w:color="auto" w:sz="4" w:space="0"/>
              <w:left w:val="single" w:color="auto" w:sz="4" w:space="0"/>
              <w:right w:val="single" w:color="auto" w:sz="4" w:space="0"/>
            </w:tcBorders>
            <w:vAlign w:val="center"/>
          </w:tcPr>
          <w:p w14:paraId="6AED6EF1">
            <w:pPr>
              <w:spacing w:line="360" w:lineRule="exact"/>
              <w:jc w:val="center"/>
              <w:rPr>
                <w:rFonts w:ascii="宋体" w:hAnsi="宋体" w:cs="仿宋_GB2312"/>
                <w:sz w:val="24"/>
              </w:rPr>
            </w:pPr>
            <w:r>
              <w:rPr>
                <w:rFonts w:hint="eastAsia" w:ascii="宋体" w:hAnsi="宋体" w:cs="仿宋_GB2312"/>
                <w:sz w:val="24"/>
              </w:rPr>
              <w:t>1</w:t>
            </w:r>
          </w:p>
        </w:tc>
        <w:tc>
          <w:tcPr>
            <w:tcW w:w="797" w:type="pct"/>
            <w:tcBorders>
              <w:top w:val="single" w:color="auto" w:sz="4" w:space="0"/>
              <w:left w:val="single" w:color="auto" w:sz="4" w:space="0"/>
              <w:right w:val="single" w:color="auto" w:sz="4" w:space="0"/>
            </w:tcBorders>
            <w:vAlign w:val="center"/>
          </w:tcPr>
          <w:p w14:paraId="3935FAD5">
            <w:pPr>
              <w:spacing w:line="360" w:lineRule="exact"/>
              <w:jc w:val="center"/>
              <w:rPr>
                <w:rFonts w:ascii="宋体" w:hAnsi="宋体" w:cs="仿宋_GB2312"/>
                <w:sz w:val="24"/>
              </w:rPr>
            </w:pPr>
          </w:p>
        </w:tc>
        <w:tc>
          <w:tcPr>
            <w:tcW w:w="761" w:type="pct"/>
            <w:tcBorders>
              <w:top w:val="single" w:color="auto" w:sz="4" w:space="0"/>
              <w:left w:val="single" w:color="auto" w:sz="4" w:space="0"/>
              <w:bottom w:val="single" w:color="auto" w:sz="4" w:space="0"/>
              <w:right w:val="single" w:color="auto" w:sz="4" w:space="0"/>
            </w:tcBorders>
            <w:vAlign w:val="center"/>
          </w:tcPr>
          <w:p w14:paraId="15B92365">
            <w:pPr>
              <w:spacing w:line="360" w:lineRule="exact"/>
              <w:jc w:val="center"/>
              <w:rPr>
                <w:rFonts w:ascii="宋体" w:hAnsi="宋体" w:cs="仿宋_GB2312"/>
                <w:sz w:val="24"/>
              </w:rPr>
            </w:pPr>
          </w:p>
        </w:tc>
        <w:tc>
          <w:tcPr>
            <w:tcW w:w="878" w:type="pct"/>
            <w:tcBorders>
              <w:top w:val="single" w:color="auto" w:sz="4" w:space="0"/>
              <w:left w:val="single" w:color="auto" w:sz="4" w:space="0"/>
              <w:bottom w:val="single" w:color="auto" w:sz="4" w:space="0"/>
              <w:right w:val="single" w:color="auto" w:sz="4" w:space="0"/>
            </w:tcBorders>
            <w:vAlign w:val="center"/>
          </w:tcPr>
          <w:p w14:paraId="33465F4F">
            <w:pPr>
              <w:spacing w:line="360" w:lineRule="exact"/>
              <w:jc w:val="center"/>
              <w:rPr>
                <w:rFonts w:ascii="宋体" w:hAnsi="宋体" w:cs="仿宋_GB2312"/>
                <w:sz w:val="24"/>
              </w:rPr>
            </w:pPr>
          </w:p>
        </w:tc>
        <w:tc>
          <w:tcPr>
            <w:tcW w:w="874" w:type="pct"/>
            <w:tcBorders>
              <w:top w:val="single" w:color="auto" w:sz="4" w:space="0"/>
              <w:left w:val="single" w:color="auto" w:sz="4" w:space="0"/>
              <w:bottom w:val="single" w:color="auto" w:sz="4" w:space="0"/>
              <w:right w:val="single" w:color="auto" w:sz="4" w:space="0"/>
            </w:tcBorders>
            <w:vAlign w:val="center"/>
          </w:tcPr>
          <w:p w14:paraId="0CC49D3B">
            <w:pPr>
              <w:spacing w:line="360" w:lineRule="exact"/>
              <w:jc w:val="left"/>
              <w:rPr>
                <w:rFonts w:ascii="宋体" w:hAnsi="宋体" w:cs="仿宋_GB2312"/>
                <w:sz w:val="24"/>
                <w:u w:val="single"/>
              </w:rPr>
            </w:pPr>
          </w:p>
        </w:tc>
        <w:tc>
          <w:tcPr>
            <w:tcW w:w="684" w:type="pct"/>
            <w:tcBorders>
              <w:top w:val="single" w:color="auto" w:sz="4" w:space="0"/>
              <w:left w:val="single" w:color="auto" w:sz="4" w:space="0"/>
              <w:bottom w:val="single" w:color="auto" w:sz="4" w:space="0"/>
              <w:right w:val="single" w:color="auto" w:sz="4" w:space="0"/>
            </w:tcBorders>
            <w:vAlign w:val="center"/>
          </w:tcPr>
          <w:p w14:paraId="5F33FFE0">
            <w:pPr>
              <w:spacing w:line="360" w:lineRule="exact"/>
              <w:jc w:val="left"/>
              <w:rPr>
                <w:rFonts w:ascii="宋体" w:hAnsi="宋体" w:cs="仿宋_GB2312"/>
                <w:sz w:val="24"/>
                <w:u w:val="single"/>
              </w:rPr>
            </w:pPr>
          </w:p>
        </w:tc>
        <w:tc>
          <w:tcPr>
            <w:tcW w:w="685" w:type="pct"/>
            <w:tcBorders>
              <w:top w:val="single" w:color="auto" w:sz="4" w:space="0"/>
              <w:left w:val="single" w:color="auto" w:sz="4" w:space="0"/>
              <w:bottom w:val="single" w:color="auto" w:sz="4" w:space="0"/>
              <w:right w:val="single" w:color="auto" w:sz="4" w:space="0"/>
            </w:tcBorders>
            <w:vAlign w:val="center"/>
          </w:tcPr>
          <w:p w14:paraId="144F4EF9">
            <w:pPr>
              <w:spacing w:line="360" w:lineRule="exact"/>
              <w:jc w:val="center"/>
              <w:rPr>
                <w:rFonts w:ascii="宋体" w:hAnsi="宋体" w:cs="仿宋_GB2312"/>
                <w:sz w:val="24"/>
              </w:rPr>
            </w:pPr>
          </w:p>
        </w:tc>
      </w:tr>
      <w:tr w14:paraId="65A1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317" w:type="pct"/>
            <w:tcBorders>
              <w:top w:val="single" w:color="auto" w:sz="4" w:space="0"/>
              <w:left w:val="single" w:color="auto" w:sz="4" w:space="0"/>
              <w:bottom w:val="single" w:color="auto" w:sz="4" w:space="0"/>
              <w:right w:val="single" w:color="auto" w:sz="4" w:space="0"/>
            </w:tcBorders>
            <w:vAlign w:val="center"/>
          </w:tcPr>
          <w:p w14:paraId="3F66C1E1">
            <w:pPr>
              <w:spacing w:line="360" w:lineRule="exact"/>
              <w:jc w:val="center"/>
              <w:rPr>
                <w:rFonts w:ascii="宋体" w:hAnsi="宋体" w:cs="仿宋_GB2312"/>
                <w:sz w:val="24"/>
              </w:rPr>
            </w:pPr>
            <w:r>
              <w:rPr>
                <w:rFonts w:hint="eastAsia" w:ascii="宋体" w:hAnsi="宋体" w:cs="仿宋_GB2312"/>
                <w:sz w:val="24"/>
              </w:rPr>
              <w:t>2</w:t>
            </w:r>
          </w:p>
        </w:tc>
        <w:tc>
          <w:tcPr>
            <w:tcW w:w="797" w:type="pct"/>
            <w:tcBorders>
              <w:top w:val="single" w:color="auto" w:sz="4" w:space="0"/>
              <w:left w:val="single" w:color="auto" w:sz="4" w:space="0"/>
              <w:bottom w:val="single" w:color="auto" w:sz="4" w:space="0"/>
              <w:right w:val="single" w:color="auto" w:sz="4" w:space="0"/>
            </w:tcBorders>
            <w:vAlign w:val="center"/>
          </w:tcPr>
          <w:p w14:paraId="31B144CA">
            <w:pPr>
              <w:spacing w:line="360" w:lineRule="exact"/>
              <w:jc w:val="center"/>
              <w:rPr>
                <w:rFonts w:ascii="宋体" w:hAnsi="宋体" w:cs="仿宋_GB2312"/>
                <w:sz w:val="24"/>
              </w:rPr>
            </w:pPr>
          </w:p>
        </w:tc>
        <w:tc>
          <w:tcPr>
            <w:tcW w:w="761" w:type="pct"/>
            <w:tcBorders>
              <w:top w:val="single" w:color="auto" w:sz="4" w:space="0"/>
              <w:left w:val="single" w:color="auto" w:sz="4" w:space="0"/>
              <w:bottom w:val="single" w:color="auto" w:sz="4" w:space="0"/>
              <w:right w:val="single" w:color="auto" w:sz="4" w:space="0"/>
            </w:tcBorders>
            <w:vAlign w:val="center"/>
          </w:tcPr>
          <w:p w14:paraId="4761F2EF">
            <w:pPr>
              <w:spacing w:line="360" w:lineRule="exact"/>
              <w:jc w:val="center"/>
              <w:rPr>
                <w:rFonts w:ascii="宋体" w:hAnsi="宋体" w:cs="仿宋_GB2312"/>
                <w:sz w:val="24"/>
              </w:rPr>
            </w:pPr>
          </w:p>
        </w:tc>
        <w:tc>
          <w:tcPr>
            <w:tcW w:w="878" w:type="pct"/>
            <w:tcBorders>
              <w:top w:val="single" w:color="auto" w:sz="4" w:space="0"/>
              <w:left w:val="single" w:color="auto" w:sz="4" w:space="0"/>
              <w:bottom w:val="single" w:color="auto" w:sz="4" w:space="0"/>
              <w:right w:val="single" w:color="auto" w:sz="4" w:space="0"/>
            </w:tcBorders>
            <w:vAlign w:val="center"/>
          </w:tcPr>
          <w:p w14:paraId="0BF22590">
            <w:pPr>
              <w:spacing w:line="360" w:lineRule="exact"/>
              <w:jc w:val="center"/>
              <w:rPr>
                <w:rFonts w:ascii="宋体" w:hAnsi="宋体" w:cs="仿宋_GB2312"/>
                <w:sz w:val="24"/>
              </w:rPr>
            </w:pPr>
          </w:p>
        </w:tc>
        <w:tc>
          <w:tcPr>
            <w:tcW w:w="874" w:type="pct"/>
            <w:tcBorders>
              <w:top w:val="single" w:color="auto" w:sz="4" w:space="0"/>
              <w:left w:val="single" w:color="auto" w:sz="4" w:space="0"/>
              <w:bottom w:val="single" w:color="auto" w:sz="4" w:space="0"/>
              <w:right w:val="single" w:color="auto" w:sz="4" w:space="0"/>
            </w:tcBorders>
            <w:vAlign w:val="center"/>
          </w:tcPr>
          <w:p w14:paraId="05590AEF">
            <w:pPr>
              <w:spacing w:line="360" w:lineRule="exact"/>
              <w:jc w:val="center"/>
              <w:rPr>
                <w:rFonts w:ascii="宋体" w:hAnsi="宋体" w:cs="仿宋_GB2312"/>
                <w:sz w:val="24"/>
              </w:rPr>
            </w:pPr>
          </w:p>
        </w:tc>
        <w:tc>
          <w:tcPr>
            <w:tcW w:w="684" w:type="pct"/>
            <w:tcBorders>
              <w:top w:val="single" w:color="auto" w:sz="4" w:space="0"/>
              <w:left w:val="single" w:color="auto" w:sz="4" w:space="0"/>
              <w:bottom w:val="single" w:color="auto" w:sz="4" w:space="0"/>
              <w:right w:val="single" w:color="auto" w:sz="4" w:space="0"/>
            </w:tcBorders>
            <w:vAlign w:val="center"/>
          </w:tcPr>
          <w:p w14:paraId="50D2490B">
            <w:pPr>
              <w:spacing w:line="360" w:lineRule="exact"/>
              <w:jc w:val="center"/>
              <w:rPr>
                <w:rFonts w:ascii="宋体" w:hAnsi="宋体" w:cs="仿宋_GB2312"/>
                <w:sz w:val="24"/>
              </w:rPr>
            </w:pPr>
          </w:p>
        </w:tc>
        <w:tc>
          <w:tcPr>
            <w:tcW w:w="685" w:type="pct"/>
            <w:tcBorders>
              <w:top w:val="single" w:color="auto" w:sz="4" w:space="0"/>
              <w:left w:val="single" w:color="auto" w:sz="4" w:space="0"/>
              <w:bottom w:val="single" w:color="auto" w:sz="4" w:space="0"/>
              <w:right w:val="single" w:color="auto" w:sz="4" w:space="0"/>
            </w:tcBorders>
            <w:vAlign w:val="center"/>
          </w:tcPr>
          <w:p w14:paraId="3352BC7C">
            <w:pPr>
              <w:spacing w:line="360" w:lineRule="exact"/>
              <w:jc w:val="center"/>
              <w:rPr>
                <w:rFonts w:ascii="宋体" w:hAnsi="宋体" w:cs="仿宋_GB2312"/>
                <w:sz w:val="24"/>
              </w:rPr>
            </w:pPr>
          </w:p>
        </w:tc>
      </w:tr>
      <w:tr w14:paraId="3B7A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317" w:type="pct"/>
            <w:tcBorders>
              <w:top w:val="single" w:color="auto" w:sz="4" w:space="0"/>
              <w:left w:val="single" w:color="auto" w:sz="4" w:space="0"/>
              <w:bottom w:val="single" w:color="auto" w:sz="4" w:space="0"/>
              <w:right w:val="single" w:color="auto" w:sz="4" w:space="0"/>
            </w:tcBorders>
            <w:vAlign w:val="center"/>
          </w:tcPr>
          <w:p w14:paraId="37A74668">
            <w:pPr>
              <w:spacing w:line="360" w:lineRule="exact"/>
              <w:jc w:val="center"/>
              <w:rPr>
                <w:rFonts w:ascii="宋体" w:hAnsi="宋体" w:cs="仿宋_GB2312"/>
                <w:sz w:val="24"/>
              </w:rPr>
            </w:pPr>
            <w:r>
              <w:rPr>
                <w:rFonts w:hint="eastAsia" w:ascii="宋体" w:hAnsi="宋体" w:cs="仿宋_GB2312"/>
                <w:sz w:val="24"/>
              </w:rPr>
              <w:t>3</w:t>
            </w:r>
          </w:p>
        </w:tc>
        <w:tc>
          <w:tcPr>
            <w:tcW w:w="797" w:type="pct"/>
            <w:tcBorders>
              <w:top w:val="single" w:color="auto" w:sz="4" w:space="0"/>
              <w:left w:val="single" w:color="auto" w:sz="4" w:space="0"/>
              <w:bottom w:val="single" w:color="auto" w:sz="4" w:space="0"/>
              <w:right w:val="single" w:color="auto" w:sz="4" w:space="0"/>
            </w:tcBorders>
            <w:vAlign w:val="center"/>
          </w:tcPr>
          <w:p w14:paraId="264592C3">
            <w:pPr>
              <w:spacing w:line="360" w:lineRule="exact"/>
              <w:jc w:val="center"/>
              <w:rPr>
                <w:rFonts w:ascii="宋体" w:hAnsi="宋体" w:cs="仿宋_GB2312"/>
                <w:sz w:val="24"/>
              </w:rPr>
            </w:pPr>
          </w:p>
        </w:tc>
        <w:tc>
          <w:tcPr>
            <w:tcW w:w="761" w:type="pct"/>
            <w:tcBorders>
              <w:top w:val="single" w:color="auto" w:sz="4" w:space="0"/>
              <w:left w:val="single" w:color="auto" w:sz="4" w:space="0"/>
              <w:bottom w:val="single" w:color="auto" w:sz="4" w:space="0"/>
              <w:right w:val="single" w:color="auto" w:sz="4" w:space="0"/>
            </w:tcBorders>
            <w:vAlign w:val="center"/>
          </w:tcPr>
          <w:p w14:paraId="5A37D262">
            <w:pPr>
              <w:spacing w:line="360" w:lineRule="exact"/>
              <w:jc w:val="center"/>
              <w:rPr>
                <w:rFonts w:ascii="宋体" w:hAnsi="宋体" w:cs="仿宋_GB2312"/>
                <w:sz w:val="24"/>
              </w:rPr>
            </w:pPr>
          </w:p>
        </w:tc>
        <w:tc>
          <w:tcPr>
            <w:tcW w:w="878" w:type="pct"/>
            <w:tcBorders>
              <w:top w:val="single" w:color="auto" w:sz="4" w:space="0"/>
              <w:left w:val="single" w:color="auto" w:sz="4" w:space="0"/>
              <w:bottom w:val="single" w:color="auto" w:sz="4" w:space="0"/>
              <w:right w:val="single" w:color="auto" w:sz="4" w:space="0"/>
            </w:tcBorders>
            <w:vAlign w:val="center"/>
          </w:tcPr>
          <w:p w14:paraId="2780C456">
            <w:pPr>
              <w:spacing w:line="360" w:lineRule="exact"/>
              <w:jc w:val="center"/>
              <w:rPr>
                <w:rFonts w:ascii="宋体" w:hAnsi="宋体" w:cs="仿宋_GB2312"/>
                <w:sz w:val="24"/>
              </w:rPr>
            </w:pPr>
          </w:p>
        </w:tc>
        <w:tc>
          <w:tcPr>
            <w:tcW w:w="874" w:type="pct"/>
            <w:tcBorders>
              <w:top w:val="single" w:color="auto" w:sz="4" w:space="0"/>
              <w:left w:val="single" w:color="auto" w:sz="4" w:space="0"/>
              <w:bottom w:val="single" w:color="auto" w:sz="4" w:space="0"/>
              <w:right w:val="single" w:color="auto" w:sz="4" w:space="0"/>
            </w:tcBorders>
            <w:vAlign w:val="center"/>
          </w:tcPr>
          <w:p w14:paraId="45F7F79B">
            <w:pPr>
              <w:spacing w:line="360" w:lineRule="exact"/>
              <w:jc w:val="center"/>
              <w:rPr>
                <w:rFonts w:ascii="宋体" w:hAnsi="宋体" w:cs="仿宋_GB2312"/>
                <w:sz w:val="24"/>
              </w:rPr>
            </w:pPr>
          </w:p>
        </w:tc>
        <w:tc>
          <w:tcPr>
            <w:tcW w:w="684" w:type="pct"/>
            <w:tcBorders>
              <w:top w:val="single" w:color="auto" w:sz="4" w:space="0"/>
              <w:left w:val="single" w:color="auto" w:sz="4" w:space="0"/>
              <w:bottom w:val="single" w:color="auto" w:sz="4" w:space="0"/>
              <w:right w:val="single" w:color="auto" w:sz="4" w:space="0"/>
            </w:tcBorders>
            <w:vAlign w:val="center"/>
          </w:tcPr>
          <w:p w14:paraId="2DB2E094">
            <w:pPr>
              <w:spacing w:line="360" w:lineRule="exact"/>
              <w:jc w:val="center"/>
              <w:rPr>
                <w:rFonts w:ascii="宋体" w:hAnsi="宋体" w:cs="仿宋_GB2312"/>
                <w:sz w:val="24"/>
              </w:rPr>
            </w:pPr>
          </w:p>
        </w:tc>
        <w:tc>
          <w:tcPr>
            <w:tcW w:w="685" w:type="pct"/>
            <w:tcBorders>
              <w:top w:val="single" w:color="auto" w:sz="4" w:space="0"/>
              <w:left w:val="single" w:color="auto" w:sz="4" w:space="0"/>
              <w:bottom w:val="single" w:color="auto" w:sz="4" w:space="0"/>
              <w:right w:val="single" w:color="auto" w:sz="4" w:space="0"/>
            </w:tcBorders>
            <w:vAlign w:val="center"/>
          </w:tcPr>
          <w:p w14:paraId="1DAA8015">
            <w:pPr>
              <w:spacing w:line="360" w:lineRule="exact"/>
              <w:jc w:val="center"/>
              <w:rPr>
                <w:rFonts w:ascii="宋体" w:hAnsi="宋体" w:cs="仿宋_GB2312"/>
                <w:sz w:val="24"/>
              </w:rPr>
            </w:pPr>
          </w:p>
        </w:tc>
      </w:tr>
      <w:tr w14:paraId="3704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317" w:type="pct"/>
            <w:tcBorders>
              <w:top w:val="single" w:color="auto" w:sz="4" w:space="0"/>
              <w:left w:val="single" w:color="auto" w:sz="4" w:space="0"/>
              <w:bottom w:val="single" w:color="auto" w:sz="4" w:space="0"/>
              <w:right w:val="single" w:color="auto" w:sz="4" w:space="0"/>
            </w:tcBorders>
            <w:vAlign w:val="center"/>
          </w:tcPr>
          <w:p w14:paraId="0931B7AF">
            <w:pPr>
              <w:spacing w:line="360" w:lineRule="exact"/>
              <w:jc w:val="center"/>
              <w:rPr>
                <w:rFonts w:ascii="宋体" w:hAnsi="宋体" w:cs="仿宋_GB2312"/>
                <w:sz w:val="24"/>
              </w:rPr>
            </w:pPr>
            <w:r>
              <w:rPr>
                <w:rFonts w:hint="eastAsia" w:ascii="宋体" w:hAnsi="宋体" w:cs="仿宋_GB2312"/>
                <w:sz w:val="24"/>
              </w:rPr>
              <w:t>4</w:t>
            </w:r>
          </w:p>
        </w:tc>
        <w:tc>
          <w:tcPr>
            <w:tcW w:w="797" w:type="pct"/>
            <w:tcBorders>
              <w:top w:val="single" w:color="auto" w:sz="4" w:space="0"/>
              <w:left w:val="single" w:color="auto" w:sz="4" w:space="0"/>
              <w:bottom w:val="single" w:color="auto" w:sz="4" w:space="0"/>
              <w:right w:val="single" w:color="auto" w:sz="4" w:space="0"/>
            </w:tcBorders>
            <w:vAlign w:val="center"/>
          </w:tcPr>
          <w:p w14:paraId="5FF7A59A">
            <w:pPr>
              <w:spacing w:line="360" w:lineRule="exact"/>
              <w:jc w:val="center"/>
              <w:rPr>
                <w:rFonts w:ascii="宋体" w:hAnsi="宋体" w:cs="仿宋_GB2312"/>
                <w:sz w:val="24"/>
              </w:rPr>
            </w:pPr>
          </w:p>
        </w:tc>
        <w:tc>
          <w:tcPr>
            <w:tcW w:w="761" w:type="pct"/>
            <w:tcBorders>
              <w:top w:val="single" w:color="auto" w:sz="4" w:space="0"/>
              <w:left w:val="single" w:color="auto" w:sz="4" w:space="0"/>
              <w:bottom w:val="single" w:color="auto" w:sz="4" w:space="0"/>
              <w:right w:val="single" w:color="auto" w:sz="4" w:space="0"/>
            </w:tcBorders>
            <w:vAlign w:val="center"/>
          </w:tcPr>
          <w:p w14:paraId="14E7AB16">
            <w:pPr>
              <w:spacing w:line="360" w:lineRule="exact"/>
              <w:jc w:val="center"/>
              <w:rPr>
                <w:rFonts w:ascii="宋体" w:hAnsi="宋体" w:cs="仿宋_GB2312"/>
                <w:sz w:val="24"/>
              </w:rPr>
            </w:pPr>
          </w:p>
        </w:tc>
        <w:tc>
          <w:tcPr>
            <w:tcW w:w="878" w:type="pct"/>
            <w:tcBorders>
              <w:top w:val="single" w:color="auto" w:sz="4" w:space="0"/>
              <w:left w:val="single" w:color="auto" w:sz="4" w:space="0"/>
              <w:bottom w:val="single" w:color="auto" w:sz="4" w:space="0"/>
              <w:right w:val="single" w:color="auto" w:sz="4" w:space="0"/>
            </w:tcBorders>
            <w:vAlign w:val="center"/>
          </w:tcPr>
          <w:p w14:paraId="499F5590">
            <w:pPr>
              <w:spacing w:line="360" w:lineRule="exact"/>
              <w:jc w:val="center"/>
              <w:rPr>
                <w:rFonts w:ascii="宋体" w:hAnsi="宋体" w:cs="仿宋_GB2312"/>
                <w:sz w:val="24"/>
              </w:rPr>
            </w:pPr>
          </w:p>
        </w:tc>
        <w:tc>
          <w:tcPr>
            <w:tcW w:w="874" w:type="pct"/>
            <w:tcBorders>
              <w:top w:val="single" w:color="auto" w:sz="4" w:space="0"/>
              <w:left w:val="single" w:color="auto" w:sz="4" w:space="0"/>
              <w:bottom w:val="single" w:color="auto" w:sz="4" w:space="0"/>
              <w:right w:val="single" w:color="auto" w:sz="4" w:space="0"/>
            </w:tcBorders>
            <w:vAlign w:val="center"/>
          </w:tcPr>
          <w:p w14:paraId="15D09779">
            <w:pPr>
              <w:spacing w:line="360" w:lineRule="exact"/>
              <w:jc w:val="center"/>
              <w:rPr>
                <w:rFonts w:ascii="宋体" w:hAnsi="宋体" w:cs="仿宋_GB2312"/>
                <w:sz w:val="24"/>
              </w:rPr>
            </w:pPr>
          </w:p>
        </w:tc>
        <w:tc>
          <w:tcPr>
            <w:tcW w:w="684" w:type="pct"/>
            <w:tcBorders>
              <w:top w:val="single" w:color="auto" w:sz="4" w:space="0"/>
              <w:left w:val="single" w:color="auto" w:sz="4" w:space="0"/>
              <w:bottom w:val="single" w:color="auto" w:sz="4" w:space="0"/>
              <w:right w:val="single" w:color="auto" w:sz="4" w:space="0"/>
            </w:tcBorders>
            <w:vAlign w:val="center"/>
          </w:tcPr>
          <w:p w14:paraId="5C694590">
            <w:pPr>
              <w:spacing w:line="360" w:lineRule="exact"/>
              <w:jc w:val="center"/>
              <w:rPr>
                <w:rFonts w:ascii="宋体" w:hAnsi="宋体" w:cs="仿宋_GB2312"/>
                <w:sz w:val="24"/>
              </w:rPr>
            </w:pPr>
          </w:p>
        </w:tc>
        <w:tc>
          <w:tcPr>
            <w:tcW w:w="685" w:type="pct"/>
            <w:tcBorders>
              <w:top w:val="single" w:color="auto" w:sz="4" w:space="0"/>
              <w:left w:val="single" w:color="auto" w:sz="4" w:space="0"/>
              <w:bottom w:val="single" w:color="auto" w:sz="4" w:space="0"/>
              <w:right w:val="single" w:color="auto" w:sz="4" w:space="0"/>
            </w:tcBorders>
            <w:vAlign w:val="center"/>
          </w:tcPr>
          <w:p w14:paraId="5029BCFF">
            <w:pPr>
              <w:spacing w:line="360" w:lineRule="exact"/>
              <w:jc w:val="center"/>
              <w:rPr>
                <w:rFonts w:ascii="宋体" w:hAnsi="宋体" w:cs="仿宋_GB2312"/>
                <w:sz w:val="24"/>
              </w:rPr>
            </w:pPr>
          </w:p>
        </w:tc>
      </w:tr>
      <w:tr w14:paraId="69B6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317" w:type="pct"/>
            <w:tcBorders>
              <w:top w:val="single" w:color="auto" w:sz="4" w:space="0"/>
              <w:left w:val="single" w:color="auto" w:sz="4" w:space="0"/>
              <w:bottom w:val="single" w:color="auto" w:sz="4" w:space="0"/>
              <w:right w:val="single" w:color="auto" w:sz="4" w:space="0"/>
            </w:tcBorders>
            <w:vAlign w:val="center"/>
          </w:tcPr>
          <w:p w14:paraId="7B5EF41F">
            <w:pPr>
              <w:spacing w:line="360" w:lineRule="exact"/>
              <w:jc w:val="center"/>
              <w:rPr>
                <w:rFonts w:ascii="宋体" w:hAnsi="宋体" w:cs="仿宋_GB2312"/>
                <w:sz w:val="24"/>
              </w:rPr>
            </w:pPr>
            <w:r>
              <w:rPr>
                <w:rFonts w:hint="eastAsia" w:ascii="宋体" w:hAnsi="宋体" w:cs="仿宋_GB2312"/>
                <w:sz w:val="24"/>
              </w:rPr>
              <w:t>5</w:t>
            </w:r>
          </w:p>
        </w:tc>
        <w:tc>
          <w:tcPr>
            <w:tcW w:w="797" w:type="pct"/>
            <w:tcBorders>
              <w:top w:val="single" w:color="auto" w:sz="4" w:space="0"/>
              <w:left w:val="single" w:color="auto" w:sz="4" w:space="0"/>
              <w:bottom w:val="single" w:color="auto" w:sz="4" w:space="0"/>
              <w:right w:val="single" w:color="auto" w:sz="4" w:space="0"/>
            </w:tcBorders>
            <w:vAlign w:val="center"/>
          </w:tcPr>
          <w:p w14:paraId="6145F1A8">
            <w:pPr>
              <w:spacing w:line="360" w:lineRule="exact"/>
              <w:jc w:val="center"/>
              <w:rPr>
                <w:rFonts w:ascii="宋体" w:hAnsi="宋体" w:cs="仿宋_GB2312"/>
                <w:sz w:val="24"/>
              </w:rPr>
            </w:pPr>
          </w:p>
        </w:tc>
        <w:tc>
          <w:tcPr>
            <w:tcW w:w="761" w:type="pct"/>
            <w:tcBorders>
              <w:top w:val="single" w:color="auto" w:sz="4" w:space="0"/>
              <w:left w:val="single" w:color="auto" w:sz="4" w:space="0"/>
              <w:bottom w:val="single" w:color="auto" w:sz="4" w:space="0"/>
              <w:right w:val="single" w:color="auto" w:sz="4" w:space="0"/>
            </w:tcBorders>
            <w:vAlign w:val="center"/>
          </w:tcPr>
          <w:p w14:paraId="18703D38">
            <w:pPr>
              <w:spacing w:line="360" w:lineRule="exact"/>
              <w:jc w:val="center"/>
              <w:rPr>
                <w:rFonts w:ascii="宋体" w:hAnsi="宋体" w:cs="仿宋_GB2312"/>
                <w:sz w:val="24"/>
              </w:rPr>
            </w:pPr>
          </w:p>
        </w:tc>
        <w:tc>
          <w:tcPr>
            <w:tcW w:w="878" w:type="pct"/>
            <w:tcBorders>
              <w:top w:val="single" w:color="auto" w:sz="4" w:space="0"/>
              <w:left w:val="single" w:color="auto" w:sz="4" w:space="0"/>
              <w:bottom w:val="single" w:color="auto" w:sz="4" w:space="0"/>
              <w:right w:val="single" w:color="auto" w:sz="4" w:space="0"/>
            </w:tcBorders>
            <w:vAlign w:val="center"/>
          </w:tcPr>
          <w:p w14:paraId="74AA5545">
            <w:pPr>
              <w:spacing w:line="360" w:lineRule="exact"/>
              <w:jc w:val="center"/>
              <w:rPr>
                <w:rFonts w:ascii="宋体" w:hAnsi="宋体" w:cs="仿宋_GB2312"/>
                <w:sz w:val="24"/>
              </w:rPr>
            </w:pPr>
          </w:p>
        </w:tc>
        <w:tc>
          <w:tcPr>
            <w:tcW w:w="874" w:type="pct"/>
            <w:tcBorders>
              <w:top w:val="single" w:color="auto" w:sz="4" w:space="0"/>
              <w:left w:val="single" w:color="auto" w:sz="4" w:space="0"/>
              <w:bottom w:val="single" w:color="auto" w:sz="4" w:space="0"/>
              <w:right w:val="single" w:color="auto" w:sz="4" w:space="0"/>
            </w:tcBorders>
            <w:vAlign w:val="center"/>
          </w:tcPr>
          <w:p w14:paraId="2D6B623B">
            <w:pPr>
              <w:spacing w:line="360" w:lineRule="exact"/>
              <w:jc w:val="center"/>
              <w:rPr>
                <w:rFonts w:ascii="宋体" w:hAnsi="宋体" w:cs="仿宋_GB2312"/>
                <w:sz w:val="24"/>
              </w:rPr>
            </w:pPr>
          </w:p>
        </w:tc>
        <w:tc>
          <w:tcPr>
            <w:tcW w:w="684" w:type="pct"/>
            <w:tcBorders>
              <w:top w:val="single" w:color="auto" w:sz="4" w:space="0"/>
              <w:left w:val="single" w:color="auto" w:sz="4" w:space="0"/>
              <w:bottom w:val="single" w:color="auto" w:sz="4" w:space="0"/>
              <w:right w:val="single" w:color="auto" w:sz="4" w:space="0"/>
            </w:tcBorders>
            <w:vAlign w:val="center"/>
          </w:tcPr>
          <w:p w14:paraId="2CFE6C64">
            <w:pPr>
              <w:spacing w:line="360" w:lineRule="exact"/>
              <w:jc w:val="center"/>
              <w:rPr>
                <w:rFonts w:ascii="宋体" w:hAnsi="宋体" w:cs="仿宋_GB2312"/>
                <w:sz w:val="24"/>
              </w:rPr>
            </w:pPr>
          </w:p>
        </w:tc>
        <w:tc>
          <w:tcPr>
            <w:tcW w:w="685" w:type="pct"/>
            <w:tcBorders>
              <w:top w:val="single" w:color="auto" w:sz="4" w:space="0"/>
              <w:left w:val="single" w:color="auto" w:sz="4" w:space="0"/>
              <w:bottom w:val="single" w:color="auto" w:sz="4" w:space="0"/>
              <w:right w:val="single" w:color="auto" w:sz="4" w:space="0"/>
            </w:tcBorders>
            <w:vAlign w:val="center"/>
          </w:tcPr>
          <w:p w14:paraId="7E2DDA76">
            <w:pPr>
              <w:spacing w:line="360" w:lineRule="exact"/>
              <w:jc w:val="center"/>
              <w:rPr>
                <w:rFonts w:ascii="宋体" w:hAnsi="宋体" w:cs="仿宋_GB2312"/>
                <w:sz w:val="24"/>
              </w:rPr>
            </w:pPr>
          </w:p>
        </w:tc>
      </w:tr>
      <w:tr w14:paraId="726C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2755" w:type="pct"/>
            <w:gridSpan w:val="4"/>
            <w:tcBorders>
              <w:top w:val="single" w:color="auto" w:sz="4" w:space="0"/>
              <w:left w:val="single" w:color="auto" w:sz="4" w:space="0"/>
              <w:bottom w:val="single" w:color="auto" w:sz="4" w:space="0"/>
              <w:right w:val="single" w:color="auto" w:sz="4" w:space="0"/>
            </w:tcBorders>
            <w:vAlign w:val="center"/>
          </w:tcPr>
          <w:p w14:paraId="2BFE582B">
            <w:pPr>
              <w:spacing w:line="360" w:lineRule="exact"/>
              <w:jc w:val="center"/>
              <w:rPr>
                <w:rFonts w:ascii="宋体" w:hAnsi="宋体" w:cs="仿宋_GB2312"/>
                <w:sz w:val="24"/>
              </w:rPr>
            </w:pPr>
            <w:r>
              <w:rPr>
                <w:rFonts w:hint="eastAsia" w:ascii="宋体" w:hAnsi="宋体" w:cs="仿宋_GB2312"/>
                <w:sz w:val="24"/>
              </w:rPr>
              <w:t>合计</w:t>
            </w:r>
          </w:p>
        </w:tc>
        <w:tc>
          <w:tcPr>
            <w:tcW w:w="874" w:type="pct"/>
            <w:tcBorders>
              <w:top w:val="single" w:color="auto" w:sz="4" w:space="0"/>
              <w:left w:val="single" w:color="auto" w:sz="4" w:space="0"/>
              <w:bottom w:val="single" w:color="auto" w:sz="4" w:space="0"/>
              <w:right w:val="single" w:color="auto" w:sz="4" w:space="0"/>
            </w:tcBorders>
            <w:vAlign w:val="center"/>
          </w:tcPr>
          <w:p w14:paraId="4E943F13">
            <w:pPr>
              <w:spacing w:line="360" w:lineRule="exact"/>
              <w:jc w:val="center"/>
              <w:rPr>
                <w:rFonts w:ascii="宋体" w:hAnsi="宋体" w:cs="仿宋_GB2312"/>
                <w:sz w:val="24"/>
              </w:rPr>
            </w:pPr>
          </w:p>
        </w:tc>
        <w:tc>
          <w:tcPr>
            <w:tcW w:w="684" w:type="pct"/>
            <w:tcBorders>
              <w:top w:val="single" w:color="auto" w:sz="4" w:space="0"/>
              <w:left w:val="single" w:color="auto" w:sz="4" w:space="0"/>
              <w:bottom w:val="single" w:color="auto" w:sz="4" w:space="0"/>
              <w:right w:val="single" w:color="auto" w:sz="4" w:space="0"/>
            </w:tcBorders>
            <w:vAlign w:val="center"/>
          </w:tcPr>
          <w:p w14:paraId="12B10CF5">
            <w:pPr>
              <w:spacing w:line="360" w:lineRule="exact"/>
              <w:jc w:val="center"/>
              <w:rPr>
                <w:rFonts w:ascii="宋体" w:hAnsi="宋体" w:cs="仿宋_GB2312"/>
                <w:sz w:val="24"/>
              </w:rPr>
            </w:pPr>
          </w:p>
        </w:tc>
        <w:tc>
          <w:tcPr>
            <w:tcW w:w="685" w:type="pct"/>
            <w:tcBorders>
              <w:top w:val="single" w:color="auto" w:sz="4" w:space="0"/>
              <w:left w:val="single" w:color="auto" w:sz="4" w:space="0"/>
              <w:bottom w:val="single" w:color="auto" w:sz="4" w:space="0"/>
              <w:right w:val="single" w:color="auto" w:sz="4" w:space="0"/>
            </w:tcBorders>
            <w:vAlign w:val="center"/>
          </w:tcPr>
          <w:p w14:paraId="4FC8AEB0">
            <w:pPr>
              <w:spacing w:line="360" w:lineRule="exact"/>
              <w:jc w:val="center"/>
              <w:rPr>
                <w:rFonts w:ascii="宋体" w:hAnsi="宋体" w:cs="仿宋_GB2312"/>
                <w:sz w:val="24"/>
              </w:rPr>
            </w:pPr>
          </w:p>
        </w:tc>
      </w:tr>
      <w:tr w14:paraId="2477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7235B3AC">
            <w:pPr>
              <w:spacing w:line="360" w:lineRule="exact"/>
              <w:jc w:val="left"/>
              <w:rPr>
                <w:rFonts w:asciiTheme="minorEastAsia" w:hAnsiTheme="minorEastAsia" w:eastAsiaTheme="minorEastAsia"/>
                <w:sz w:val="24"/>
              </w:rPr>
            </w:pPr>
            <w:r>
              <w:rPr>
                <w:rFonts w:hint="eastAsia" w:ascii="宋体" w:hAnsi="宋体" w:cs="宋体"/>
                <w:b/>
                <w:kern w:val="0"/>
                <w:sz w:val="24"/>
              </w:rPr>
              <w:t>合同合计金额：</w:t>
            </w:r>
            <w:r>
              <w:rPr>
                <w:rFonts w:hint="eastAsia" w:ascii="宋体" w:hAnsi="宋体" w:cs="宋体"/>
                <w:b/>
                <w:sz w:val="24"/>
              </w:rPr>
              <w:t>（包含税费等所有费用）</w:t>
            </w:r>
            <w:r>
              <w:rPr>
                <w:rFonts w:hint="eastAsia" w:ascii="宋体" w:hAnsi="宋体" w:cs="宋体"/>
                <w:b/>
                <w:kern w:val="0"/>
                <w:sz w:val="24"/>
              </w:rPr>
              <w:t>（大写）人民币</w:t>
            </w:r>
            <w:r>
              <w:rPr>
                <w:rFonts w:hint="eastAsia" w:ascii="宋体" w:hAnsi="宋体" w:cs="宋体"/>
                <w:b/>
                <w:kern w:val="0"/>
                <w:sz w:val="24"/>
                <w:u w:val="single"/>
              </w:rPr>
              <w:t xml:space="preserve">      </w:t>
            </w:r>
            <w:r>
              <w:rPr>
                <w:rFonts w:hint="eastAsia" w:ascii="宋体" w:hAnsi="宋体" w:cs="宋体"/>
                <w:b/>
                <w:kern w:val="0"/>
                <w:sz w:val="24"/>
              </w:rPr>
              <w:t>元整    （小写）¥000000.00</w:t>
            </w:r>
          </w:p>
        </w:tc>
      </w:tr>
    </w:tbl>
    <w:p w14:paraId="3AA584BC">
      <w:pPr>
        <w:spacing w:line="360" w:lineRule="auto"/>
        <w:ind w:firstLine="480" w:firstLineChars="200"/>
        <w:rPr>
          <w:rFonts w:ascii="宋体" w:hAnsi="宋体"/>
          <w:sz w:val="24"/>
        </w:rPr>
      </w:pPr>
      <w:r>
        <w:rPr>
          <w:rFonts w:hint="eastAsia" w:ascii="宋体" w:hAnsi="宋体"/>
          <w:sz w:val="24"/>
        </w:rPr>
        <w:t>2.合同合计金额为甲方指定地点的现场交付价格，包括：</w:t>
      </w:r>
      <w:r>
        <w:rPr>
          <w:rFonts w:hint="eastAsia" w:ascii="宋体" w:hAnsi="宋体" w:cs="宋体"/>
          <w:sz w:val="24"/>
        </w:rPr>
        <w:t>1）货物的价格：包括货款、配件、安装调试费；2）货物的标准附件、备品备件、专用工具的价格；3）运输、保管、调试、培训、技术支持、售后服务费；4）招标代理服务费和各项税金。</w:t>
      </w:r>
    </w:p>
    <w:p w14:paraId="09B1A0BB">
      <w:pPr>
        <w:spacing w:line="360" w:lineRule="auto"/>
        <w:ind w:firstLine="482" w:firstLineChars="200"/>
        <w:rPr>
          <w:rFonts w:ascii="宋体" w:hAnsi="宋体" w:cs="宋体"/>
          <w:b/>
          <w:sz w:val="24"/>
        </w:rPr>
      </w:pPr>
      <w:r>
        <w:rPr>
          <w:rFonts w:hint="eastAsia" w:ascii="宋体" w:hAnsi="宋体" w:cs="宋体"/>
          <w:b/>
          <w:sz w:val="24"/>
        </w:rPr>
        <w:t>第二条　质量保证</w:t>
      </w:r>
    </w:p>
    <w:p w14:paraId="111E6D1C">
      <w:pPr>
        <w:snapToGrid w:val="0"/>
        <w:spacing w:line="420" w:lineRule="exact"/>
        <w:ind w:firstLine="480" w:firstLineChars="200"/>
        <w:rPr>
          <w:rFonts w:ascii="宋体" w:hAnsi="宋体" w:cs="宋体"/>
          <w:sz w:val="24"/>
        </w:rPr>
      </w:pPr>
      <w:r>
        <w:rPr>
          <w:rFonts w:hint="eastAsia" w:ascii="宋体" w:hAnsi="宋体" w:cs="宋体"/>
          <w:sz w:val="24"/>
        </w:rPr>
        <w:t>乙方所提供的服务及服务内容必须与响应文件承诺相一致，有国家强制性标准的，还必须符合国家强制性标准的规定，没有国家强制性标准但有其他强制性标准的，必须符合其他强制性标准的规定。</w:t>
      </w:r>
    </w:p>
    <w:p w14:paraId="152692DB">
      <w:pPr>
        <w:spacing w:line="360" w:lineRule="auto"/>
        <w:ind w:firstLine="482" w:firstLineChars="200"/>
        <w:rPr>
          <w:rFonts w:ascii="宋体" w:hAnsi="宋体" w:cs="宋体"/>
          <w:b/>
          <w:sz w:val="24"/>
        </w:rPr>
      </w:pPr>
      <w:r>
        <w:rPr>
          <w:rFonts w:hint="eastAsia" w:ascii="宋体" w:hAnsi="宋体" w:cs="宋体"/>
          <w:b/>
          <w:sz w:val="24"/>
        </w:rPr>
        <w:t>第三条 服务期限</w:t>
      </w:r>
    </w:p>
    <w:p w14:paraId="52AC69D9">
      <w:pPr>
        <w:spacing w:line="360" w:lineRule="auto"/>
        <w:ind w:firstLine="480" w:firstLineChars="200"/>
        <w:rPr>
          <w:rFonts w:ascii="宋体" w:hAnsi="宋体" w:cs="宋体"/>
          <w:sz w:val="24"/>
        </w:rPr>
      </w:pPr>
      <w:r>
        <w:rPr>
          <w:rFonts w:hint="eastAsia" w:ascii="宋体" w:hAnsi="宋体" w:cs="宋体"/>
          <w:sz w:val="24"/>
        </w:rPr>
        <w:t>合同履约期限：</w:t>
      </w:r>
      <w:r>
        <w:rPr>
          <w:rFonts w:hint="eastAsia" w:ascii="宋体" w:hAnsi="宋体" w:cs="宋体"/>
          <w:sz w:val="24"/>
          <w:u w:val="single"/>
        </w:rPr>
        <w:t xml:space="preserve">        </w:t>
      </w:r>
      <w:r>
        <w:rPr>
          <w:rFonts w:hint="eastAsia" w:ascii="宋体" w:hAnsi="宋体" w:cs="宋体"/>
          <w:sz w:val="24"/>
        </w:rPr>
        <w:t xml:space="preserve">。 </w:t>
      </w:r>
    </w:p>
    <w:p w14:paraId="63241ED4">
      <w:pPr>
        <w:spacing w:line="360" w:lineRule="auto"/>
        <w:ind w:firstLine="482" w:firstLineChars="200"/>
        <w:rPr>
          <w:rFonts w:ascii="宋体" w:hAnsi="宋体" w:cs="宋体"/>
          <w:b/>
          <w:sz w:val="24"/>
        </w:rPr>
      </w:pPr>
      <w:r>
        <w:rPr>
          <w:rFonts w:hint="eastAsia" w:ascii="宋体" w:hAnsi="宋体" w:cs="宋体"/>
          <w:b/>
          <w:sz w:val="24"/>
        </w:rPr>
        <w:t>第四条　权利保证</w:t>
      </w:r>
    </w:p>
    <w:p w14:paraId="0013901C">
      <w:pPr>
        <w:snapToGrid w:val="0"/>
        <w:spacing w:line="420" w:lineRule="exact"/>
        <w:ind w:firstLine="480" w:firstLineChars="200"/>
        <w:rPr>
          <w:rFonts w:ascii="宋体" w:hAnsi="宋体" w:cs="宋体"/>
          <w:sz w:val="24"/>
        </w:rPr>
      </w:pPr>
      <w:r>
        <w:rPr>
          <w:rFonts w:hint="eastAsia" w:ascii="宋体" w:hAnsi="宋体" w:cs="宋体"/>
          <w:sz w:val="24"/>
        </w:rPr>
        <w:t>1、乙方应保证所提供服务在使用时不会侵犯任何第三方的专利权、商标权、工业设计权等知识产权及其他合法权利，且所有权、处分权等没有受到任何限制。</w:t>
      </w:r>
    </w:p>
    <w:p w14:paraId="404B2301">
      <w:pPr>
        <w:snapToGrid w:val="0"/>
        <w:spacing w:line="420" w:lineRule="exact"/>
        <w:ind w:firstLine="480" w:firstLineChars="200"/>
        <w:rPr>
          <w:rFonts w:ascii="宋体" w:hAnsi="宋体" w:cs="宋体"/>
          <w:sz w:val="24"/>
        </w:rPr>
      </w:pPr>
      <w:r>
        <w:rPr>
          <w:rFonts w:hint="eastAsia" w:ascii="宋体" w:hAnsi="宋体" w:cs="宋体"/>
          <w:sz w:val="24"/>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70FF030A">
      <w:pPr>
        <w:numPr>
          <w:ilvl w:val="0"/>
          <w:numId w:val="4"/>
        </w:numPr>
        <w:spacing w:line="360" w:lineRule="auto"/>
        <w:ind w:firstLine="482" w:firstLineChars="200"/>
        <w:rPr>
          <w:rFonts w:ascii="宋体" w:hAnsi="宋体" w:cs="宋体"/>
          <w:b/>
          <w:sz w:val="24"/>
        </w:rPr>
      </w:pPr>
      <w:r>
        <w:rPr>
          <w:rFonts w:hint="eastAsia" w:ascii="宋体" w:hAnsi="宋体" w:cs="宋体"/>
          <w:b/>
          <w:sz w:val="24"/>
        </w:rPr>
        <w:t xml:space="preserve">服务费支付 </w:t>
      </w:r>
    </w:p>
    <w:p w14:paraId="33449338">
      <w:pPr>
        <w:snapToGrid w:val="0"/>
        <w:spacing w:line="420" w:lineRule="exact"/>
        <w:ind w:firstLine="480" w:firstLineChars="200"/>
        <w:rPr>
          <w:rFonts w:ascii="宋体" w:hAnsi="宋体" w:cs="宋体"/>
          <w:sz w:val="24"/>
        </w:rPr>
      </w:pPr>
      <w:r>
        <w:rPr>
          <w:rFonts w:hint="eastAsia" w:ascii="宋体" w:hAnsi="宋体" w:cs="宋体"/>
          <w:sz w:val="24"/>
        </w:rPr>
        <w:t xml:space="preserve">1、第一期：合同生效以及具备实施条件后 10 个工作日内甲方向乙方支付合同款 50%做为预付款； </w:t>
      </w:r>
    </w:p>
    <w:p w14:paraId="00179E7C">
      <w:pPr>
        <w:snapToGrid w:val="0"/>
        <w:spacing w:line="420" w:lineRule="exact"/>
        <w:ind w:firstLine="480" w:firstLineChars="200"/>
        <w:rPr>
          <w:rFonts w:ascii="宋体" w:hAnsi="宋体" w:cs="宋体"/>
          <w:sz w:val="24"/>
        </w:rPr>
      </w:pPr>
      <w:r>
        <w:rPr>
          <w:rFonts w:hint="eastAsia" w:ascii="宋体" w:hAnsi="宋体" w:cs="宋体"/>
          <w:sz w:val="24"/>
        </w:rPr>
        <w:t>第二期：全部货物到达指定地点、安装调试并验收合格后，凭双方签署验收合格证，乙方开具全额增值税发票给甲方，甲方支付至总合同金额的 100%；</w:t>
      </w:r>
    </w:p>
    <w:p w14:paraId="17111CA7">
      <w:pPr>
        <w:snapToGrid w:val="0"/>
        <w:spacing w:line="420" w:lineRule="exact"/>
        <w:ind w:firstLine="480" w:firstLineChars="200"/>
        <w:rPr>
          <w:rFonts w:ascii="宋体" w:hAnsi="宋体" w:cs="宋体"/>
          <w:sz w:val="24"/>
        </w:rPr>
      </w:pPr>
      <w:r>
        <w:rPr>
          <w:rFonts w:hint="eastAsia" w:ascii="宋体" w:hAnsi="宋体" w:cs="宋体"/>
          <w:sz w:val="24"/>
        </w:rPr>
        <w:t>2、甲方每次付款前，乙方应提供合法税务发票，否则，甲方的付款义务顺延，同时，如未按国家要求开具增值税发票，一旦发现乙方提供虚假发票，除须向甲方补开合法发票外，须赔偿甲方发票票面金额一倍的违约金，且甲方有权终止合同，乙方不得提出异议，因终止合同而产生的一切损失均由乙方承担。</w:t>
      </w:r>
    </w:p>
    <w:p w14:paraId="2CA1F580">
      <w:pPr>
        <w:spacing w:line="360" w:lineRule="auto"/>
        <w:ind w:firstLine="480" w:firstLineChars="200"/>
        <w:rPr>
          <w:rFonts w:ascii="宋体" w:hAnsi="宋体" w:cs="宋体"/>
          <w:sz w:val="24"/>
        </w:rPr>
      </w:pPr>
      <w:r>
        <w:rPr>
          <w:rFonts w:hint="eastAsia" w:ascii="宋体" w:hAnsi="宋体" w:cs="宋体"/>
          <w:sz w:val="24"/>
        </w:rPr>
        <w:t xml:space="preserve">2、支付方式：转账或电汇形式 </w:t>
      </w:r>
    </w:p>
    <w:p w14:paraId="49B9FA26">
      <w:pPr>
        <w:spacing w:line="360" w:lineRule="auto"/>
        <w:ind w:firstLine="480" w:firstLineChars="200"/>
        <w:rPr>
          <w:rFonts w:ascii="宋体" w:hAnsi="宋体" w:cs="宋体"/>
          <w:sz w:val="24"/>
        </w:rPr>
      </w:pPr>
      <w:r>
        <w:rPr>
          <w:rFonts w:hint="eastAsia" w:ascii="宋体" w:hAnsi="宋体" w:cs="宋体"/>
          <w:sz w:val="24"/>
        </w:rPr>
        <w:t xml:space="preserve">3、甲方将服务费付至乙方指定的以下银行账号： </w:t>
      </w:r>
    </w:p>
    <w:p w14:paraId="69974CDE">
      <w:pPr>
        <w:snapToGrid w:val="0"/>
        <w:spacing w:line="420" w:lineRule="exact"/>
        <w:ind w:firstLine="480" w:firstLineChars="200"/>
        <w:rPr>
          <w:rFonts w:ascii="宋体" w:hAnsi="宋体" w:cs="宋体"/>
          <w:sz w:val="24"/>
        </w:rPr>
      </w:pPr>
      <w:r>
        <w:rPr>
          <w:rFonts w:hint="eastAsia" w:ascii="宋体" w:hAnsi="宋体" w:cs="宋体"/>
          <w:sz w:val="24"/>
        </w:rPr>
        <w:t xml:space="preserve">开户名称： </w:t>
      </w:r>
    </w:p>
    <w:p w14:paraId="6B251202">
      <w:pPr>
        <w:snapToGrid w:val="0"/>
        <w:spacing w:line="420" w:lineRule="exact"/>
        <w:ind w:firstLine="480" w:firstLineChars="200"/>
        <w:rPr>
          <w:rFonts w:ascii="宋体" w:hAnsi="宋体" w:cs="宋体"/>
          <w:sz w:val="24"/>
        </w:rPr>
      </w:pPr>
      <w:r>
        <w:rPr>
          <w:rFonts w:hint="eastAsia" w:ascii="宋体" w:hAnsi="宋体" w:cs="宋体"/>
          <w:sz w:val="24"/>
        </w:rPr>
        <w:t xml:space="preserve">开户银行： </w:t>
      </w:r>
    </w:p>
    <w:p w14:paraId="6A684B41">
      <w:pPr>
        <w:snapToGrid w:val="0"/>
        <w:spacing w:line="420" w:lineRule="exact"/>
        <w:ind w:firstLine="480" w:firstLineChars="200"/>
        <w:rPr>
          <w:rFonts w:ascii="宋体" w:hAnsi="宋体" w:cs="宋体"/>
        </w:rPr>
      </w:pPr>
      <w:r>
        <w:rPr>
          <w:rFonts w:hint="eastAsia" w:ascii="宋体" w:hAnsi="宋体" w:cs="宋体"/>
          <w:sz w:val="24"/>
        </w:rPr>
        <w:t xml:space="preserve">银行账号： </w:t>
      </w:r>
    </w:p>
    <w:p w14:paraId="5FE0FEFE">
      <w:pPr>
        <w:spacing w:line="360" w:lineRule="auto"/>
        <w:ind w:firstLine="482" w:firstLineChars="200"/>
        <w:rPr>
          <w:rFonts w:ascii="宋体" w:hAnsi="宋体" w:cs="宋体"/>
          <w:b/>
          <w:sz w:val="24"/>
        </w:rPr>
      </w:pPr>
      <w:r>
        <w:rPr>
          <w:rFonts w:hint="eastAsia" w:ascii="宋体" w:hAnsi="宋体" w:cs="宋体"/>
          <w:b/>
          <w:sz w:val="24"/>
        </w:rPr>
        <w:t xml:space="preserve">第六条 履约保证金 </w:t>
      </w:r>
    </w:p>
    <w:p w14:paraId="4722FB0C">
      <w:pPr>
        <w:spacing w:line="360" w:lineRule="auto"/>
        <w:ind w:firstLine="480" w:firstLineChars="200"/>
        <w:rPr>
          <w:rFonts w:ascii="宋体" w:hAnsi="宋体" w:cs="宋体"/>
          <w:sz w:val="24"/>
          <w:u w:val="single"/>
        </w:rPr>
      </w:pPr>
      <w:r>
        <w:rPr>
          <w:rFonts w:hint="eastAsia" w:ascii="宋体" w:hAnsi="宋体" w:cs="宋体"/>
          <w:sz w:val="24"/>
        </w:rPr>
        <w:t>履约保证金金额：</w:t>
      </w:r>
      <w:r>
        <w:rPr>
          <w:rFonts w:hint="eastAsia" w:ascii="宋体" w:hAnsi="宋体" w:cs="宋体"/>
          <w:sz w:val="24"/>
          <w:u w:val="single"/>
        </w:rPr>
        <w:t>按合同金额的  %，即人民币        元整（¥   ）。</w:t>
      </w:r>
    </w:p>
    <w:p w14:paraId="6A9FE4F7">
      <w:pPr>
        <w:snapToGrid w:val="0"/>
        <w:spacing w:line="420" w:lineRule="exact"/>
        <w:ind w:firstLine="480" w:firstLineChars="200"/>
        <w:rPr>
          <w:rFonts w:ascii="宋体" w:hAnsi="宋体" w:cs="宋体"/>
          <w:sz w:val="24"/>
          <w:u w:val="single"/>
        </w:rPr>
      </w:pPr>
      <w:r>
        <w:rPr>
          <w:rFonts w:hint="eastAsia" w:ascii="宋体" w:hAnsi="宋体" w:cs="宋体"/>
          <w:sz w:val="24"/>
        </w:rPr>
        <w:t>履约保证金递交方式：乙方应于</w:t>
      </w:r>
      <w:r>
        <w:rPr>
          <w:rFonts w:hint="eastAsia" w:ascii="宋体" w:hAnsi="宋体" w:cs="Arial" w:eastAsiaTheme="minorEastAsia"/>
          <w:sz w:val="24"/>
        </w:rPr>
        <w:t>成交</w:t>
      </w:r>
      <w:r>
        <w:rPr>
          <w:rFonts w:ascii="宋体" w:hAnsi="宋体" w:cs="Arial" w:eastAsiaTheme="minorEastAsia"/>
          <w:sz w:val="24"/>
        </w:rPr>
        <w:t>结果公布后 5 日内（本合同签订前）</w:t>
      </w:r>
      <w:r>
        <w:rPr>
          <w:rFonts w:hint="eastAsia" w:ascii="宋体" w:hAnsi="宋体" w:cs="Arial" w:eastAsiaTheme="minorEastAsia"/>
          <w:sz w:val="24"/>
        </w:rPr>
        <w:t>，选择</w:t>
      </w:r>
      <w:r>
        <w:rPr>
          <w:rFonts w:hint="eastAsia" w:ascii="宋体" w:hAnsi="宋体" w:cs="宋体"/>
          <w:sz w:val="24"/>
          <w:u w:val="single"/>
        </w:rPr>
        <w:t>银行转账、支票、汇票、本票或者金融机构、担保机构出具的保函等非现金形式提交。</w:t>
      </w:r>
    </w:p>
    <w:p w14:paraId="2D8B0F83">
      <w:pPr>
        <w:snapToGrid w:val="0"/>
        <w:spacing w:line="420" w:lineRule="exact"/>
        <w:ind w:firstLine="480" w:firstLineChars="200"/>
        <w:rPr>
          <w:rFonts w:ascii="宋体" w:hAnsi="宋体" w:cs="宋体"/>
          <w:sz w:val="24"/>
        </w:rPr>
      </w:pPr>
      <w:r>
        <w:rPr>
          <w:rFonts w:hint="eastAsia" w:ascii="宋体" w:hAnsi="宋体" w:cs="宋体"/>
          <w:sz w:val="24"/>
        </w:rPr>
        <w:t>履约保证金退还方式：履约保证金在项目内容全部交付验收合格，且履行期限届满后，由乙方向甲方提供审签完成的《采购项目合同验收书》及《履约保证金退付意见书》，甲方在收到合格材料后办理退还手续（不计利息）。</w:t>
      </w:r>
    </w:p>
    <w:p w14:paraId="79AA0E0C">
      <w:pPr>
        <w:snapToGrid w:val="0"/>
        <w:spacing w:line="420" w:lineRule="exact"/>
        <w:ind w:firstLine="480" w:firstLineChars="200"/>
        <w:rPr>
          <w:rFonts w:ascii="宋体" w:hAnsi="宋体" w:cs="宋体"/>
          <w:sz w:val="24"/>
        </w:rPr>
      </w:pPr>
      <w:r>
        <w:rPr>
          <w:rFonts w:hint="eastAsia" w:ascii="宋体" w:hAnsi="宋体" w:cs="宋体"/>
          <w:sz w:val="24"/>
        </w:rPr>
        <w:t xml:space="preserve">履约保证金指定缴纳账户开户名称： </w:t>
      </w:r>
    </w:p>
    <w:p w14:paraId="133FDD2F">
      <w:pPr>
        <w:snapToGrid w:val="0"/>
        <w:spacing w:line="420" w:lineRule="exact"/>
        <w:ind w:firstLine="480" w:firstLineChars="200"/>
        <w:rPr>
          <w:rFonts w:ascii="宋体" w:hAnsi="宋体" w:cs="宋体"/>
          <w:sz w:val="24"/>
        </w:rPr>
      </w:pPr>
      <w:r>
        <w:rPr>
          <w:rFonts w:hint="eastAsia" w:ascii="宋体" w:hAnsi="宋体" w:cs="宋体"/>
          <w:sz w:val="24"/>
        </w:rPr>
        <w:t xml:space="preserve">开户名称： </w:t>
      </w:r>
    </w:p>
    <w:p w14:paraId="4B2B705F">
      <w:pPr>
        <w:snapToGrid w:val="0"/>
        <w:spacing w:line="420" w:lineRule="exact"/>
        <w:ind w:firstLine="480" w:firstLineChars="200"/>
        <w:rPr>
          <w:rFonts w:ascii="宋体" w:hAnsi="宋体" w:cs="宋体"/>
          <w:sz w:val="24"/>
        </w:rPr>
      </w:pPr>
      <w:r>
        <w:rPr>
          <w:rFonts w:hint="eastAsia" w:ascii="宋体" w:hAnsi="宋体" w:cs="宋体"/>
          <w:sz w:val="24"/>
        </w:rPr>
        <w:t xml:space="preserve">开户银行： </w:t>
      </w:r>
    </w:p>
    <w:p w14:paraId="720F6479">
      <w:pPr>
        <w:snapToGrid w:val="0"/>
        <w:spacing w:line="420" w:lineRule="exact"/>
        <w:ind w:firstLine="480" w:firstLineChars="200"/>
        <w:rPr>
          <w:rFonts w:ascii="宋体" w:hAnsi="宋体" w:cs="宋体"/>
          <w:sz w:val="24"/>
        </w:rPr>
      </w:pPr>
      <w:r>
        <w:rPr>
          <w:rFonts w:hint="eastAsia" w:ascii="宋体" w:hAnsi="宋体" w:cs="宋体"/>
          <w:sz w:val="24"/>
        </w:rPr>
        <w:t xml:space="preserve">银行账号： </w:t>
      </w:r>
    </w:p>
    <w:p w14:paraId="6161004C">
      <w:pPr>
        <w:spacing w:line="360" w:lineRule="auto"/>
        <w:ind w:firstLine="482" w:firstLineChars="200"/>
        <w:rPr>
          <w:rFonts w:ascii="宋体" w:hAnsi="宋体" w:cs="宋体"/>
          <w:b/>
          <w:sz w:val="24"/>
        </w:rPr>
      </w:pPr>
      <w:r>
        <w:rPr>
          <w:rFonts w:hint="eastAsia" w:ascii="宋体" w:hAnsi="宋体" w:cs="宋体"/>
          <w:b/>
          <w:sz w:val="24"/>
        </w:rPr>
        <w:t xml:space="preserve">第七条 税费 </w:t>
      </w:r>
    </w:p>
    <w:p w14:paraId="44E36580">
      <w:pPr>
        <w:widowControl/>
        <w:ind w:firstLine="480" w:firstLineChars="200"/>
        <w:jc w:val="left"/>
        <w:rPr>
          <w:rFonts w:ascii="宋体" w:hAnsi="宋体" w:cs="宋体"/>
        </w:rPr>
      </w:pPr>
      <w:r>
        <w:rPr>
          <w:rFonts w:hint="eastAsia" w:ascii="宋体" w:hAnsi="宋体" w:cs="宋体"/>
          <w:kern w:val="0"/>
          <w:sz w:val="24"/>
          <w:lang w:bidi="ar"/>
        </w:rPr>
        <w:t xml:space="preserve">本合同执行中相关的一切税费均由乙方负担。 </w:t>
      </w:r>
    </w:p>
    <w:p w14:paraId="0A81D1DC">
      <w:pPr>
        <w:spacing w:line="360" w:lineRule="auto"/>
        <w:ind w:firstLine="482" w:firstLineChars="200"/>
        <w:rPr>
          <w:rFonts w:ascii="宋体" w:hAnsi="宋体" w:cs="宋体"/>
          <w:b/>
          <w:sz w:val="24"/>
        </w:rPr>
      </w:pPr>
      <w:r>
        <w:rPr>
          <w:rFonts w:hint="eastAsia" w:ascii="宋体" w:hAnsi="宋体" w:cs="宋体"/>
          <w:b/>
          <w:sz w:val="24"/>
        </w:rPr>
        <w:t>第八条　权利保证</w:t>
      </w:r>
    </w:p>
    <w:p w14:paraId="64F8C84A">
      <w:pPr>
        <w:spacing w:line="360" w:lineRule="auto"/>
        <w:ind w:firstLine="480" w:firstLineChars="200"/>
        <w:rPr>
          <w:rFonts w:ascii="宋体" w:hAnsi="宋体" w:cs="宋体"/>
          <w:sz w:val="24"/>
        </w:rPr>
      </w:pPr>
      <w:r>
        <w:rPr>
          <w:rFonts w:hint="eastAsia" w:ascii="宋体" w:hAnsi="宋体" w:cs="宋体"/>
          <w:sz w:val="24"/>
        </w:rPr>
        <w:t>1、乙方应保证所提供服务在使用时不会侵犯任何第三方的专利权、商标权、工业设计权等知识产权及其他合法权利，且所有权、处分权等没有受到任何限制。</w:t>
      </w:r>
    </w:p>
    <w:p w14:paraId="66A411CD">
      <w:pPr>
        <w:spacing w:line="360" w:lineRule="auto"/>
        <w:ind w:firstLine="480" w:firstLineChars="200"/>
        <w:rPr>
          <w:rFonts w:ascii="宋体" w:hAnsi="宋体" w:cs="宋体"/>
          <w:sz w:val="24"/>
        </w:rPr>
      </w:pPr>
      <w:r>
        <w:rPr>
          <w:rFonts w:hint="eastAsia" w:ascii="宋体" w:hAnsi="宋体" w:cs="宋体"/>
          <w:sz w:val="24"/>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33606C5">
      <w:pPr>
        <w:spacing w:line="360" w:lineRule="auto"/>
        <w:ind w:firstLine="482" w:firstLineChars="200"/>
        <w:rPr>
          <w:rFonts w:ascii="宋体" w:hAnsi="宋体" w:cs="宋体"/>
          <w:b/>
          <w:sz w:val="24"/>
        </w:rPr>
      </w:pPr>
      <w:r>
        <w:rPr>
          <w:rFonts w:hint="eastAsia" w:ascii="宋体" w:hAnsi="宋体" w:cs="宋体"/>
          <w:b/>
          <w:sz w:val="24"/>
        </w:rPr>
        <w:t>第九条　交付和验收</w:t>
      </w:r>
    </w:p>
    <w:p w14:paraId="53F9F081">
      <w:pPr>
        <w:spacing w:line="360" w:lineRule="auto"/>
        <w:ind w:firstLine="480" w:firstLineChars="200"/>
        <w:rPr>
          <w:rFonts w:ascii="宋体" w:hAnsi="宋体" w:cs="宋体"/>
          <w:sz w:val="24"/>
        </w:rPr>
      </w:pPr>
      <w:r>
        <w:rPr>
          <w:rFonts w:hint="eastAsia" w:ascii="宋体" w:hAnsi="宋体" w:cs="宋体"/>
          <w:sz w:val="24"/>
        </w:rPr>
        <w:t>1、交付时间：</w:t>
      </w:r>
      <w:r>
        <w:rPr>
          <w:rFonts w:hint="eastAsia" w:ascii="宋体" w:hAnsi="宋体" w:cs="宋体"/>
          <w:sz w:val="24"/>
          <w:u w:val="single"/>
        </w:rPr>
        <w:t xml:space="preserve">                       </w:t>
      </w:r>
      <w:r>
        <w:rPr>
          <w:rFonts w:hint="eastAsia" w:ascii="宋体" w:hAnsi="宋体" w:cs="宋体"/>
          <w:sz w:val="24"/>
        </w:rPr>
        <w:t>，交付地点：</w:t>
      </w:r>
      <w:r>
        <w:rPr>
          <w:rFonts w:hint="eastAsia" w:ascii="宋体" w:hAnsi="宋体" w:cs="宋体"/>
          <w:sz w:val="24"/>
          <w:u w:val="single"/>
        </w:rPr>
        <w:t xml:space="preserve">             </w:t>
      </w:r>
      <w:r>
        <w:rPr>
          <w:rFonts w:hint="eastAsia" w:ascii="宋体" w:hAnsi="宋体" w:cs="宋体"/>
          <w:sz w:val="24"/>
        </w:rPr>
        <w:t>。</w:t>
      </w:r>
    </w:p>
    <w:p w14:paraId="33D0008B">
      <w:pPr>
        <w:snapToGrid w:val="0"/>
        <w:spacing w:line="360" w:lineRule="auto"/>
        <w:ind w:firstLine="480" w:firstLineChars="200"/>
        <w:rPr>
          <w:rFonts w:ascii="宋体" w:hAnsi="宋体" w:cs="宋体"/>
          <w:sz w:val="24"/>
        </w:rPr>
      </w:pPr>
      <w:r>
        <w:rPr>
          <w:rFonts w:hint="eastAsia" w:ascii="宋体" w:hAnsi="宋体" w:cs="宋体"/>
          <w:sz w:val="24"/>
        </w:rPr>
        <w:t>2、乙方应按响应文件的承诺向甲方提供相应的服务，并提供所服务内容的相关技术资料。</w:t>
      </w:r>
    </w:p>
    <w:p w14:paraId="2748C658">
      <w:pPr>
        <w:spacing w:line="360" w:lineRule="auto"/>
        <w:ind w:firstLine="480" w:firstLineChars="200"/>
        <w:rPr>
          <w:rFonts w:ascii="宋体" w:hAnsi="宋体" w:cs="宋体"/>
          <w:sz w:val="24"/>
        </w:rPr>
      </w:pPr>
      <w:r>
        <w:rPr>
          <w:rFonts w:hint="eastAsia" w:ascii="宋体" w:hAnsi="宋体" w:cs="宋体"/>
          <w:sz w:val="24"/>
        </w:rPr>
        <w:t>3、乙方提供不符合响应文件和本合同规定的服务成果，甲方有权拒绝接受。</w:t>
      </w:r>
    </w:p>
    <w:p w14:paraId="75382BFF">
      <w:pPr>
        <w:spacing w:line="360" w:lineRule="auto"/>
        <w:ind w:firstLine="480" w:firstLineChars="200"/>
        <w:rPr>
          <w:rFonts w:ascii="宋体" w:hAnsi="宋体" w:cs="宋体"/>
          <w:sz w:val="24"/>
        </w:rPr>
      </w:pPr>
      <w:r>
        <w:rPr>
          <w:rFonts w:hint="eastAsia" w:ascii="宋体" w:hAnsi="宋体" w:cs="宋体"/>
          <w:sz w:val="24"/>
        </w:rPr>
        <w:t>4、乙方完成服务后应及时书面通知甲方进行验收，甲方应在收到通知后七个工作日内进行验收。验收合格后由甲乙双方签署验收单并加盖采购人公章，甲乙双方各执一份。</w:t>
      </w:r>
    </w:p>
    <w:p w14:paraId="107460E4">
      <w:pPr>
        <w:spacing w:line="360" w:lineRule="auto"/>
        <w:ind w:firstLine="480" w:firstLineChars="200"/>
        <w:rPr>
          <w:rFonts w:ascii="宋体" w:hAnsi="宋体" w:cs="宋体"/>
          <w:sz w:val="24"/>
        </w:rPr>
      </w:pPr>
      <w:r>
        <w:rPr>
          <w:rFonts w:hint="eastAsia" w:ascii="宋体" w:hAnsi="宋体" w:cs="宋体"/>
          <w:sz w:val="24"/>
        </w:rPr>
        <w:t>5、甲乙双方应按照《广西壮族自治区采购项目履约验收管理办法》、双方合同、响应文件验收。</w:t>
      </w:r>
    </w:p>
    <w:p w14:paraId="27086D96">
      <w:pPr>
        <w:spacing w:line="360" w:lineRule="auto"/>
        <w:ind w:firstLine="480" w:firstLineChars="200"/>
        <w:rPr>
          <w:rFonts w:ascii="宋体" w:hAnsi="宋体" w:cs="宋体"/>
          <w:sz w:val="24"/>
        </w:rPr>
      </w:pPr>
      <w:r>
        <w:rPr>
          <w:rFonts w:hint="eastAsia" w:ascii="宋体" w:hAnsi="宋体" w:cs="宋体"/>
          <w:sz w:val="24"/>
        </w:rPr>
        <w:t>6、甲方在初步验收或者最终验收过程中如发现乙方提供的服务成果不满足响应文件及本合同规定的，可暂缓向乙方付款，直到乙方及时完善并提交相应的服务成果且经甲方验收合格后，方可办理付款。</w:t>
      </w:r>
    </w:p>
    <w:p w14:paraId="0C94CA04">
      <w:pPr>
        <w:spacing w:line="360" w:lineRule="auto"/>
        <w:ind w:firstLine="480" w:firstLineChars="200"/>
        <w:rPr>
          <w:rFonts w:ascii="宋体" w:hAnsi="宋体" w:cs="宋体"/>
          <w:sz w:val="24"/>
        </w:rPr>
      </w:pPr>
      <w:r>
        <w:rPr>
          <w:rFonts w:hint="eastAsia" w:ascii="宋体" w:hAnsi="宋体" w:cs="宋体"/>
          <w:sz w:val="24"/>
        </w:rPr>
        <w:t>7、甲方验收时以书面形式提出异议的，乙方应自收到甲方书面异议后五个工作日内及时予以解决，否则甲方有权不出具服务验收合格单。</w:t>
      </w:r>
    </w:p>
    <w:p w14:paraId="2749E991">
      <w:pPr>
        <w:snapToGrid w:val="0"/>
        <w:spacing w:line="360" w:lineRule="auto"/>
        <w:ind w:firstLine="482" w:firstLineChars="200"/>
        <w:rPr>
          <w:rFonts w:ascii="宋体" w:hAnsi="宋体" w:cs="宋体"/>
          <w:b/>
          <w:sz w:val="24"/>
        </w:rPr>
      </w:pPr>
      <w:r>
        <w:rPr>
          <w:rFonts w:hint="eastAsia" w:ascii="宋体" w:hAnsi="宋体" w:cs="宋体"/>
          <w:b/>
          <w:sz w:val="24"/>
        </w:rPr>
        <w:t>第十条  售后服务及培训</w:t>
      </w:r>
    </w:p>
    <w:p w14:paraId="45DBD5CC">
      <w:pPr>
        <w:snapToGrid w:val="0"/>
        <w:spacing w:line="360" w:lineRule="auto"/>
        <w:ind w:firstLine="480" w:firstLineChars="200"/>
        <w:rPr>
          <w:rFonts w:ascii="宋体" w:hAnsi="宋体" w:cs="宋体"/>
          <w:sz w:val="24"/>
        </w:rPr>
      </w:pPr>
      <w:r>
        <w:rPr>
          <w:rFonts w:hint="eastAsia" w:ascii="宋体" w:hAnsi="宋体" w:cs="宋体"/>
          <w:sz w:val="24"/>
        </w:rPr>
        <w:t>1、乙方应按照国家有关法律法规和本合同所附的《售后服务承诺》要求为甲方提供相应的售后服务。</w:t>
      </w:r>
    </w:p>
    <w:p w14:paraId="01B635B6">
      <w:pPr>
        <w:spacing w:line="360" w:lineRule="auto"/>
        <w:ind w:firstLine="480" w:firstLineChars="200"/>
        <w:rPr>
          <w:rFonts w:ascii="宋体" w:hAnsi="宋体" w:cs="宋体"/>
          <w:sz w:val="24"/>
        </w:rPr>
      </w:pPr>
      <w:r>
        <w:rPr>
          <w:rFonts w:hint="eastAsia" w:ascii="宋体" w:hAnsi="宋体" w:cs="宋体"/>
          <w:sz w:val="24"/>
        </w:rPr>
        <w:t>2、甲方应提供必要测试条件（如场地、电源、水源等）。</w:t>
      </w:r>
    </w:p>
    <w:p w14:paraId="47B7B58A">
      <w:pPr>
        <w:spacing w:line="360" w:lineRule="auto"/>
        <w:ind w:firstLine="480" w:firstLineChars="200"/>
        <w:rPr>
          <w:rFonts w:ascii="宋体" w:hAnsi="宋体" w:cs="宋体"/>
        </w:rPr>
      </w:pPr>
      <w:r>
        <w:rPr>
          <w:rFonts w:hint="eastAsia" w:ascii="宋体" w:hAnsi="宋体" w:cs="宋体"/>
          <w:sz w:val="24"/>
        </w:rPr>
        <w:t>3、乙方负责甲方有关人员的培训。培训时间、地点：</w:t>
      </w:r>
      <w:r>
        <w:rPr>
          <w:rFonts w:hint="eastAsia" w:ascii="宋体" w:hAnsi="宋体" w:cs="宋体"/>
          <w:sz w:val="24"/>
          <w:u w:val="single"/>
        </w:rPr>
        <w:t xml:space="preserve">                    </w:t>
      </w:r>
      <w:r>
        <w:rPr>
          <w:rFonts w:hint="eastAsia" w:ascii="宋体" w:hAnsi="宋体" w:cs="宋体"/>
          <w:sz w:val="24"/>
        </w:rPr>
        <w:t>。</w:t>
      </w:r>
    </w:p>
    <w:p w14:paraId="67396B9C">
      <w:pPr>
        <w:spacing w:line="360" w:lineRule="auto"/>
        <w:ind w:firstLine="482" w:firstLineChars="200"/>
        <w:rPr>
          <w:rFonts w:ascii="宋体" w:hAnsi="宋体" w:cs="宋体"/>
          <w:b/>
          <w:sz w:val="24"/>
        </w:rPr>
      </w:pPr>
      <w:r>
        <w:rPr>
          <w:rFonts w:hint="eastAsia" w:ascii="宋体" w:hAnsi="宋体" w:cs="宋体"/>
          <w:b/>
          <w:sz w:val="24"/>
        </w:rPr>
        <w:t xml:space="preserve">第十一条  违约责任 </w:t>
      </w:r>
    </w:p>
    <w:p w14:paraId="6E257B12">
      <w:pPr>
        <w:snapToGrid w:val="0"/>
        <w:spacing w:line="360" w:lineRule="auto"/>
        <w:ind w:firstLine="480" w:firstLineChars="200"/>
        <w:rPr>
          <w:rFonts w:ascii="宋体" w:hAnsi="宋体" w:cs="宋体"/>
          <w:sz w:val="24"/>
        </w:rPr>
      </w:pPr>
      <w:r>
        <w:rPr>
          <w:rFonts w:hint="eastAsia" w:ascii="宋体" w:hAnsi="宋体" w:cs="宋体"/>
          <w:sz w:val="24"/>
        </w:rPr>
        <w:t xml:space="preserve">1、除不可抗力原因外，乙方没有按照合同规定的时间提供服务的，甲方可要求乙方支付违约金。每推迟一天按合同金额的3‰支付违约金。逾期超过  日的，甲方有权解除合同，乙方应按合同金额的  %向甲方支付违约金。                                  </w:t>
      </w:r>
    </w:p>
    <w:p w14:paraId="5578EAA5">
      <w:pPr>
        <w:snapToGrid w:val="0"/>
        <w:spacing w:line="360" w:lineRule="auto"/>
        <w:ind w:firstLine="480" w:firstLineChars="200"/>
        <w:rPr>
          <w:rFonts w:ascii="宋体" w:hAnsi="宋体" w:cs="宋体"/>
          <w:sz w:val="24"/>
        </w:rPr>
      </w:pPr>
      <w:r>
        <w:rPr>
          <w:rFonts w:hint="eastAsia" w:ascii="宋体" w:hAnsi="宋体" w:cs="宋体"/>
          <w:sz w:val="24"/>
        </w:rPr>
        <w:t>2、乙方提供的服务如侵犯了第三方合法权益而引发的任何纠纷或者诉讼，均由乙方负责交涉并承担全部责任。</w:t>
      </w:r>
    </w:p>
    <w:p w14:paraId="68442F06">
      <w:pPr>
        <w:snapToGrid w:val="0"/>
        <w:spacing w:line="360" w:lineRule="auto"/>
        <w:ind w:firstLine="480" w:firstLineChars="200"/>
        <w:rPr>
          <w:rFonts w:ascii="宋体" w:hAnsi="宋体" w:cs="宋体"/>
          <w:sz w:val="24"/>
        </w:rPr>
      </w:pPr>
      <w:r>
        <w:rPr>
          <w:rFonts w:hint="eastAsia" w:ascii="宋体" w:hAnsi="宋体" w:cs="宋体"/>
          <w:sz w:val="24"/>
        </w:rPr>
        <w:t>3、甲方延期付款的，每天向乙方偿付延期款额0.3‰滞纳金，但滞纳金累计不得超过延期款额5%。</w:t>
      </w:r>
    </w:p>
    <w:p w14:paraId="34B71FCC">
      <w:pPr>
        <w:snapToGrid w:val="0"/>
        <w:spacing w:line="360" w:lineRule="auto"/>
        <w:ind w:firstLine="480" w:firstLineChars="200"/>
        <w:rPr>
          <w:rFonts w:ascii="宋体" w:hAnsi="宋体" w:cs="宋体"/>
          <w:sz w:val="24"/>
        </w:rPr>
      </w:pPr>
      <w:r>
        <w:rPr>
          <w:rFonts w:hint="eastAsia" w:ascii="宋体" w:hAnsi="宋体" w:cs="宋体"/>
          <w:sz w:val="24"/>
        </w:rPr>
        <w:t>4、乙方未履行合同约定义务的，应按本合同金额的  %向甲方支付违约金。</w:t>
      </w:r>
    </w:p>
    <w:p w14:paraId="2A8E89C4">
      <w:pPr>
        <w:snapToGrid w:val="0"/>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eastAsiaTheme="minorEastAsia"/>
          <w:kern w:val="0"/>
          <w:sz w:val="24"/>
        </w:rPr>
        <w:t>因乙方违约，造成的甲方支出的争议处理费用以及实现债权的费用（包括但不限于诉讼费、律师费、保全费、鉴定费、调查费、公证费、公告费、诉讼财产保全责任保险费等）由乙方承担。</w:t>
      </w:r>
    </w:p>
    <w:p w14:paraId="3BB4CE0E">
      <w:pPr>
        <w:spacing w:line="360" w:lineRule="auto"/>
        <w:ind w:firstLine="482" w:firstLineChars="200"/>
        <w:rPr>
          <w:rFonts w:ascii="宋体" w:hAnsi="宋体" w:cs="宋体"/>
          <w:b/>
          <w:sz w:val="24"/>
        </w:rPr>
      </w:pPr>
      <w:r>
        <w:rPr>
          <w:rFonts w:hint="eastAsia" w:ascii="宋体" w:hAnsi="宋体" w:cs="宋体"/>
          <w:b/>
          <w:sz w:val="24"/>
        </w:rPr>
        <w:t xml:space="preserve">第十二条 不可抗力事件处理 </w:t>
      </w:r>
    </w:p>
    <w:p w14:paraId="23248EC7">
      <w:pPr>
        <w:spacing w:line="360" w:lineRule="auto"/>
        <w:ind w:firstLine="480" w:firstLineChars="200"/>
        <w:rPr>
          <w:rFonts w:ascii="宋体" w:hAnsi="宋体" w:cs="宋体"/>
          <w:sz w:val="24"/>
        </w:rPr>
      </w:pPr>
      <w:r>
        <w:rPr>
          <w:rFonts w:hint="eastAsia" w:ascii="宋体" w:hAnsi="宋体" w:cs="宋体"/>
          <w:sz w:val="24"/>
        </w:rPr>
        <w:t xml:space="preserve">1、在合同有效期内，任何一方因不可抗力事件导致不能履行合同，则合同履行期可延 </w:t>
      </w:r>
    </w:p>
    <w:p w14:paraId="00CF4836">
      <w:pPr>
        <w:spacing w:line="360" w:lineRule="auto"/>
        <w:ind w:firstLine="480" w:firstLineChars="200"/>
        <w:rPr>
          <w:rFonts w:ascii="宋体" w:hAnsi="宋体" w:cs="宋体"/>
          <w:sz w:val="24"/>
        </w:rPr>
      </w:pPr>
      <w:r>
        <w:rPr>
          <w:rFonts w:hint="eastAsia" w:ascii="宋体" w:hAnsi="宋体" w:cs="宋体"/>
          <w:sz w:val="24"/>
        </w:rPr>
        <w:t xml:space="preserve">长，其延长期与不可抗力影响期相同。 </w:t>
      </w:r>
    </w:p>
    <w:p w14:paraId="0E882904">
      <w:pPr>
        <w:spacing w:line="360" w:lineRule="auto"/>
        <w:ind w:firstLine="480" w:firstLineChars="200"/>
        <w:rPr>
          <w:rFonts w:ascii="宋体" w:hAnsi="宋体" w:cs="宋体"/>
          <w:sz w:val="24"/>
        </w:rPr>
      </w:pPr>
      <w:r>
        <w:rPr>
          <w:rFonts w:hint="eastAsia" w:ascii="宋体" w:hAnsi="宋体" w:cs="宋体"/>
          <w:sz w:val="24"/>
        </w:rPr>
        <w:t xml:space="preserve">2、不可抗力事件发生后，应立即通知对方，并寄送有关权威机构出具的证明。 </w:t>
      </w:r>
    </w:p>
    <w:p w14:paraId="5005AD2A">
      <w:pPr>
        <w:spacing w:line="360" w:lineRule="auto"/>
        <w:ind w:firstLine="480" w:firstLineChars="200"/>
        <w:rPr>
          <w:rFonts w:ascii="宋体" w:hAnsi="宋体" w:cs="宋体"/>
          <w:sz w:val="24"/>
        </w:rPr>
      </w:pPr>
      <w:r>
        <w:rPr>
          <w:rFonts w:hint="eastAsia" w:ascii="宋体" w:hAnsi="宋体" w:cs="宋体"/>
          <w:sz w:val="24"/>
        </w:rPr>
        <w:t xml:space="preserve">3、不可抗力事件延续 30 天以上，双方应通过友好协商，确定是否继续履行合同。 </w:t>
      </w:r>
    </w:p>
    <w:p w14:paraId="4618F15A">
      <w:pPr>
        <w:spacing w:line="360" w:lineRule="auto"/>
        <w:ind w:firstLine="482" w:firstLineChars="200"/>
        <w:rPr>
          <w:rFonts w:ascii="宋体" w:hAnsi="宋体" w:cs="宋体"/>
          <w:b/>
          <w:sz w:val="24"/>
        </w:rPr>
      </w:pPr>
      <w:r>
        <w:rPr>
          <w:rFonts w:hint="eastAsia" w:ascii="宋体" w:hAnsi="宋体" w:cs="宋体"/>
          <w:b/>
          <w:sz w:val="24"/>
        </w:rPr>
        <w:t xml:space="preserve">第十三条  争议解决 </w:t>
      </w:r>
    </w:p>
    <w:p w14:paraId="50B35223">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1、因服务质量问题发生争议的，应由双方共同委托国家认可的检测部门对质量进行鉴 </w:t>
      </w:r>
    </w:p>
    <w:p w14:paraId="2C5E14B5">
      <w:pPr>
        <w:adjustRightInd w:val="0"/>
        <w:snapToGrid w:val="0"/>
        <w:spacing w:line="360" w:lineRule="auto"/>
        <w:jc w:val="left"/>
        <w:rPr>
          <w:rFonts w:ascii="宋体" w:hAnsi="宋体" w:cs="宋体"/>
          <w:sz w:val="24"/>
        </w:rPr>
      </w:pPr>
      <w:r>
        <w:rPr>
          <w:rFonts w:hint="eastAsia" w:ascii="宋体" w:hAnsi="宋体" w:cs="宋体"/>
          <w:sz w:val="24"/>
        </w:rPr>
        <w:t xml:space="preserve">定。服务符合标准或要求的，鉴定费由甲方承担；不符合标准或要求的，鉴定费由乙方承担。 </w:t>
      </w:r>
    </w:p>
    <w:p w14:paraId="7D16CCC2">
      <w:pPr>
        <w:spacing w:line="360" w:lineRule="auto"/>
        <w:ind w:firstLine="480" w:firstLineChars="200"/>
        <w:rPr>
          <w:rFonts w:ascii="宋体" w:hAnsi="宋体" w:cs="宋体"/>
          <w:sz w:val="24"/>
        </w:rPr>
      </w:pPr>
      <w:r>
        <w:rPr>
          <w:rFonts w:hint="eastAsia" w:ascii="宋体" w:hAnsi="宋体" w:cs="宋体"/>
          <w:sz w:val="24"/>
        </w:rPr>
        <w:t xml:space="preserve">2、因履行本合同引起的或与本合同有关的争议，甲乙双方应首先通过友好协商解决， </w:t>
      </w:r>
    </w:p>
    <w:p w14:paraId="4FE0C5BD">
      <w:pPr>
        <w:spacing w:line="360" w:lineRule="auto"/>
        <w:rPr>
          <w:rFonts w:ascii="宋体" w:hAnsi="宋体" w:cs="宋体"/>
          <w:sz w:val="24"/>
        </w:rPr>
      </w:pPr>
      <w:r>
        <w:rPr>
          <w:rFonts w:hint="eastAsia" w:ascii="宋体" w:hAnsi="宋体" w:cs="宋体"/>
          <w:sz w:val="24"/>
        </w:rPr>
        <w:t xml:space="preserve">如果协商不能解决，可向甲方住所地的人民法院提起诉讼。 </w:t>
      </w:r>
    </w:p>
    <w:p w14:paraId="0CBEDF9D">
      <w:pPr>
        <w:spacing w:line="360" w:lineRule="auto"/>
        <w:ind w:firstLine="480" w:firstLineChars="200"/>
        <w:rPr>
          <w:rFonts w:ascii="宋体" w:hAnsi="宋体" w:cs="宋体"/>
          <w:sz w:val="24"/>
        </w:rPr>
      </w:pPr>
      <w:r>
        <w:rPr>
          <w:rFonts w:hint="eastAsia" w:ascii="宋体" w:hAnsi="宋体" w:cs="宋体"/>
          <w:sz w:val="24"/>
        </w:rPr>
        <w:t xml:space="preserve">3、诉讼期间，本合同继续履行 </w:t>
      </w:r>
    </w:p>
    <w:p w14:paraId="51DE943E">
      <w:pPr>
        <w:spacing w:line="360" w:lineRule="auto"/>
        <w:ind w:firstLine="482" w:firstLineChars="200"/>
        <w:rPr>
          <w:rFonts w:ascii="宋体" w:hAnsi="宋体" w:cs="宋体"/>
          <w:b/>
          <w:sz w:val="24"/>
        </w:rPr>
      </w:pPr>
      <w:r>
        <w:rPr>
          <w:rFonts w:hint="eastAsia" w:ascii="宋体" w:hAnsi="宋体" w:cs="宋体"/>
          <w:b/>
          <w:sz w:val="24"/>
        </w:rPr>
        <w:t xml:space="preserve">第十四条 合同生效及其它 </w:t>
      </w:r>
    </w:p>
    <w:p w14:paraId="12D66218">
      <w:pPr>
        <w:spacing w:line="360" w:lineRule="auto"/>
        <w:ind w:firstLine="480" w:firstLineChars="200"/>
        <w:rPr>
          <w:rFonts w:ascii="宋体" w:hAnsi="宋体" w:cs="宋体"/>
          <w:sz w:val="24"/>
        </w:rPr>
      </w:pPr>
      <w:r>
        <w:rPr>
          <w:rFonts w:hint="eastAsia" w:ascii="宋体" w:hAnsi="宋体" w:cs="宋体"/>
          <w:sz w:val="24"/>
        </w:rPr>
        <w:t xml:space="preserve">1、合同经双方法定代表人或授权代表签字并加盖单位公章后生效。 </w:t>
      </w:r>
    </w:p>
    <w:p w14:paraId="2DD6AFE8">
      <w:pPr>
        <w:spacing w:line="360" w:lineRule="auto"/>
        <w:ind w:firstLine="480" w:firstLineChars="200"/>
        <w:rPr>
          <w:rFonts w:ascii="宋体" w:hAnsi="宋体" w:cs="宋体"/>
          <w:sz w:val="24"/>
        </w:rPr>
      </w:pPr>
      <w:r>
        <w:rPr>
          <w:rFonts w:hint="eastAsia" w:ascii="宋体" w:hAnsi="宋体" w:cs="宋体"/>
          <w:sz w:val="24"/>
        </w:rPr>
        <w:t xml:space="preserve">2、合同执行中涉及采购资金和采购内容修改或补充的，须经财政监督管理部门审批， </w:t>
      </w:r>
    </w:p>
    <w:p w14:paraId="0938CC69">
      <w:pPr>
        <w:spacing w:line="360" w:lineRule="auto"/>
        <w:rPr>
          <w:rFonts w:ascii="宋体" w:hAnsi="宋体" w:cs="宋体"/>
          <w:sz w:val="24"/>
        </w:rPr>
      </w:pPr>
      <w:r>
        <w:rPr>
          <w:rFonts w:hint="eastAsia" w:ascii="宋体" w:hAnsi="宋体" w:cs="宋体"/>
          <w:sz w:val="24"/>
        </w:rPr>
        <w:t xml:space="preserve">并签书面补充协议报财政监督管理部门备案，方可作为主合同不可分割的一部分。 </w:t>
      </w:r>
    </w:p>
    <w:p w14:paraId="7536B848">
      <w:pPr>
        <w:spacing w:line="360" w:lineRule="auto"/>
        <w:ind w:firstLine="480" w:firstLineChars="200"/>
        <w:rPr>
          <w:rFonts w:ascii="宋体" w:hAnsi="宋体" w:cs="宋体"/>
          <w:sz w:val="24"/>
        </w:rPr>
      </w:pPr>
      <w:r>
        <w:rPr>
          <w:rFonts w:hint="eastAsia" w:ascii="宋体" w:hAnsi="宋体" w:cs="宋体"/>
          <w:sz w:val="24"/>
        </w:rPr>
        <w:t xml:space="preserve">3、本合同未尽事宜，遵照《中华人民共和国民法典》有关条文执行 </w:t>
      </w:r>
    </w:p>
    <w:p w14:paraId="31393595">
      <w:pPr>
        <w:spacing w:line="360" w:lineRule="auto"/>
        <w:ind w:firstLine="482" w:firstLineChars="200"/>
        <w:rPr>
          <w:rFonts w:ascii="宋体" w:hAnsi="宋体" w:cs="宋体"/>
          <w:b/>
          <w:sz w:val="24"/>
        </w:rPr>
      </w:pPr>
      <w:r>
        <w:rPr>
          <w:rFonts w:hint="eastAsia" w:ascii="宋体" w:hAnsi="宋体" w:cs="宋体"/>
          <w:b/>
          <w:sz w:val="24"/>
        </w:rPr>
        <w:t xml:space="preserve">第十五条 合同的变更、终止与转让 </w:t>
      </w:r>
    </w:p>
    <w:p w14:paraId="4C938798">
      <w:pPr>
        <w:spacing w:line="360" w:lineRule="auto"/>
        <w:ind w:firstLine="480" w:firstLineChars="200"/>
        <w:rPr>
          <w:rFonts w:ascii="宋体" w:hAnsi="宋体" w:cs="宋体"/>
          <w:sz w:val="24"/>
        </w:rPr>
      </w:pPr>
      <w:r>
        <w:rPr>
          <w:rFonts w:hint="eastAsia" w:ascii="宋体" w:hAnsi="宋体" w:cs="宋体"/>
          <w:sz w:val="24"/>
        </w:rPr>
        <w:t xml:space="preserve">1、除《中华人民共和国政府采购法》第五十条规定的情形外，本合同一经签订，甲乙 </w:t>
      </w:r>
    </w:p>
    <w:p w14:paraId="76A816E1">
      <w:pPr>
        <w:spacing w:line="360" w:lineRule="auto"/>
        <w:rPr>
          <w:rFonts w:ascii="宋体" w:hAnsi="宋体" w:cs="宋体"/>
          <w:sz w:val="24"/>
        </w:rPr>
      </w:pPr>
      <w:r>
        <w:rPr>
          <w:rFonts w:hint="eastAsia" w:ascii="宋体" w:hAnsi="宋体" w:cs="宋体"/>
          <w:sz w:val="24"/>
        </w:rPr>
        <w:t xml:space="preserve">双方不得擅自变更、中止或终止。 </w:t>
      </w:r>
    </w:p>
    <w:p w14:paraId="14B8289F">
      <w:pPr>
        <w:spacing w:line="360" w:lineRule="auto"/>
        <w:ind w:firstLine="480" w:firstLineChars="200"/>
        <w:rPr>
          <w:rFonts w:ascii="宋体" w:hAnsi="宋体" w:cs="宋体"/>
          <w:sz w:val="24"/>
        </w:rPr>
      </w:pPr>
      <w:r>
        <w:rPr>
          <w:rFonts w:hint="eastAsia" w:ascii="宋体" w:hAnsi="宋体" w:cs="宋体"/>
          <w:sz w:val="24"/>
        </w:rPr>
        <w:t>2、乙方不得擅自转让其应履行的合同义务</w:t>
      </w:r>
    </w:p>
    <w:p w14:paraId="08A38818">
      <w:pPr>
        <w:spacing w:line="360" w:lineRule="auto"/>
        <w:ind w:firstLine="482" w:firstLineChars="200"/>
        <w:rPr>
          <w:rFonts w:ascii="宋体" w:hAnsi="宋体" w:cs="宋体"/>
          <w:b/>
          <w:sz w:val="24"/>
        </w:rPr>
      </w:pPr>
      <w:r>
        <w:rPr>
          <w:rFonts w:hint="eastAsia" w:ascii="宋体" w:hAnsi="宋体" w:cs="宋体"/>
          <w:b/>
          <w:sz w:val="24"/>
        </w:rPr>
        <w:t>第十六条　签订本合同依据</w:t>
      </w:r>
    </w:p>
    <w:p w14:paraId="627905A1">
      <w:pPr>
        <w:spacing w:line="360" w:lineRule="auto"/>
        <w:ind w:firstLine="480" w:firstLineChars="200"/>
        <w:rPr>
          <w:rFonts w:ascii="宋体" w:hAnsi="宋体" w:cs="宋体"/>
          <w:sz w:val="24"/>
        </w:rPr>
      </w:pPr>
      <w:r>
        <w:rPr>
          <w:rFonts w:hint="eastAsia" w:ascii="宋体" w:hAnsi="宋体" w:cs="宋体"/>
          <w:sz w:val="24"/>
        </w:rPr>
        <w:t>1、采购需求；</w:t>
      </w:r>
    </w:p>
    <w:p w14:paraId="7ADF8697">
      <w:pPr>
        <w:spacing w:line="360" w:lineRule="auto"/>
        <w:ind w:firstLine="480" w:firstLineChars="200"/>
        <w:rPr>
          <w:rFonts w:ascii="宋体" w:hAnsi="宋体" w:cs="宋体"/>
          <w:sz w:val="24"/>
        </w:rPr>
      </w:pPr>
      <w:r>
        <w:rPr>
          <w:rFonts w:hint="eastAsia" w:ascii="宋体" w:hAnsi="宋体" w:cs="宋体"/>
          <w:sz w:val="24"/>
        </w:rPr>
        <w:t>2、成交通知书；</w:t>
      </w:r>
    </w:p>
    <w:p w14:paraId="7E186FF6">
      <w:pPr>
        <w:spacing w:line="360" w:lineRule="auto"/>
        <w:ind w:firstLine="480" w:firstLineChars="200"/>
        <w:rPr>
          <w:rFonts w:ascii="宋体" w:hAnsi="宋体" w:cs="宋体"/>
          <w:sz w:val="24"/>
        </w:rPr>
      </w:pPr>
      <w:r>
        <w:rPr>
          <w:rFonts w:hint="eastAsia" w:ascii="宋体" w:hAnsi="宋体" w:cs="宋体"/>
          <w:sz w:val="24"/>
        </w:rPr>
        <w:t>3、响应函；</w:t>
      </w:r>
    </w:p>
    <w:p w14:paraId="76A0C2AA">
      <w:pPr>
        <w:spacing w:line="360" w:lineRule="auto"/>
        <w:ind w:firstLine="480" w:firstLineChars="200"/>
        <w:rPr>
          <w:rFonts w:ascii="宋体" w:hAnsi="宋体" w:cs="宋体"/>
          <w:sz w:val="24"/>
        </w:rPr>
      </w:pPr>
      <w:r>
        <w:rPr>
          <w:rFonts w:hint="eastAsia" w:ascii="宋体" w:hAnsi="宋体" w:cs="宋体"/>
          <w:sz w:val="24"/>
        </w:rPr>
        <w:t>4、商务条款偏离表和技术需求偏离表；</w:t>
      </w:r>
    </w:p>
    <w:p w14:paraId="49F7CA34">
      <w:pPr>
        <w:spacing w:line="360" w:lineRule="auto"/>
        <w:ind w:firstLine="480" w:firstLineChars="200"/>
        <w:rPr>
          <w:rFonts w:ascii="宋体" w:hAnsi="宋体" w:cs="宋体"/>
          <w:sz w:val="24"/>
        </w:rPr>
      </w:pPr>
      <w:r>
        <w:rPr>
          <w:rFonts w:hint="eastAsia" w:ascii="宋体" w:hAnsi="宋体" w:cs="宋体"/>
          <w:sz w:val="24"/>
        </w:rPr>
        <w:t>5、竞标报价表及最终报价；</w:t>
      </w:r>
    </w:p>
    <w:p w14:paraId="22A1E582">
      <w:pPr>
        <w:spacing w:line="360" w:lineRule="auto"/>
        <w:ind w:firstLine="480" w:firstLineChars="200"/>
        <w:rPr>
          <w:rFonts w:ascii="宋体" w:hAnsi="宋体" w:cs="宋体"/>
          <w:sz w:val="24"/>
        </w:rPr>
      </w:pPr>
      <w:r>
        <w:rPr>
          <w:rFonts w:hint="eastAsia" w:ascii="宋体" w:hAnsi="宋体" w:cs="宋体"/>
          <w:sz w:val="24"/>
        </w:rPr>
        <w:t>6、其他合同文件。</w:t>
      </w:r>
    </w:p>
    <w:p w14:paraId="1BEE9708">
      <w:pPr>
        <w:spacing w:line="360" w:lineRule="auto"/>
        <w:ind w:firstLine="480" w:firstLineChars="200"/>
        <w:rPr>
          <w:rFonts w:ascii="宋体" w:hAnsi="宋体" w:cs="宋体"/>
          <w:sz w:val="24"/>
        </w:rPr>
      </w:pPr>
      <w:r>
        <w:rPr>
          <w:rFonts w:hint="eastAsia" w:ascii="宋体" w:hAnsi="宋体" w:cs="宋体"/>
          <w:sz w:val="24"/>
        </w:rPr>
        <w:t>7、上述合同文件互相补充和解释。如果合同文件之间存在矛盾或者不一致之处，以上述文件的排列顺序在先者为准。</w:t>
      </w:r>
    </w:p>
    <w:p w14:paraId="4D3C5FDC">
      <w:pPr>
        <w:spacing w:line="360" w:lineRule="auto"/>
        <w:ind w:firstLine="482" w:firstLineChars="200"/>
        <w:rPr>
          <w:rFonts w:ascii="宋体" w:hAnsi="宋体" w:cs="宋体"/>
          <w:sz w:val="24"/>
        </w:rPr>
      </w:pPr>
      <w:r>
        <w:rPr>
          <w:rFonts w:hint="eastAsia" w:ascii="宋体" w:hAnsi="宋体" w:cs="宋体"/>
          <w:b/>
          <w:sz w:val="24"/>
        </w:rPr>
        <w:t>第十七条　</w:t>
      </w:r>
      <w:r>
        <w:rPr>
          <w:rFonts w:hint="eastAsia" w:ascii="宋体" w:hAnsi="宋体" w:cs="宋体"/>
          <w:sz w:val="24"/>
        </w:rPr>
        <w:t>本合同一式陆份，具有同等法律效力、采购代理机构各贰份，甲乙双方各贰份（可根据需要另增加）。</w:t>
      </w:r>
    </w:p>
    <w:tbl>
      <w:tblPr>
        <w:tblStyle w:val="33"/>
        <w:tblpPr w:leftFromText="180" w:rightFromText="180" w:vertAnchor="text" w:horzAnchor="margin" w:tblpXSpec="center" w:tblpY="2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0C8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3C4A3D1C">
            <w:pPr>
              <w:snapToGrid w:val="0"/>
              <w:spacing w:line="360" w:lineRule="auto"/>
              <w:rPr>
                <w:rFonts w:ascii="宋体" w:hAnsi="宋体" w:cs="宋体"/>
                <w:sz w:val="24"/>
              </w:rPr>
            </w:pPr>
            <w:r>
              <w:rPr>
                <w:rFonts w:hint="eastAsia" w:ascii="宋体" w:hAnsi="宋体" w:cs="宋体"/>
                <w:sz w:val="24"/>
              </w:rPr>
              <w:t>甲方：（章）</w:t>
            </w:r>
          </w:p>
          <w:p w14:paraId="7C246D4C">
            <w:pPr>
              <w:snapToGrid w:val="0"/>
              <w:spacing w:line="360" w:lineRule="auto"/>
              <w:rPr>
                <w:rFonts w:ascii="宋体" w:hAnsi="宋体" w:cs="宋体"/>
                <w:sz w:val="24"/>
              </w:rPr>
            </w:pPr>
          </w:p>
          <w:p w14:paraId="27CF2019">
            <w:pPr>
              <w:snapToGrid w:val="0"/>
              <w:spacing w:line="360" w:lineRule="auto"/>
              <w:rPr>
                <w:rFonts w:ascii="宋体" w:hAnsi="宋体" w:cs="宋体"/>
                <w:sz w:val="24"/>
              </w:rPr>
            </w:pPr>
          </w:p>
          <w:p w14:paraId="1B896A53">
            <w:pPr>
              <w:snapToGrid w:val="0"/>
              <w:spacing w:line="360" w:lineRule="auto"/>
              <w:ind w:firstLine="1080" w:firstLineChars="450"/>
              <w:jc w:val="right"/>
              <w:rPr>
                <w:rFonts w:ascii="宋体" w:hAnsi="宋体" w:cs="宋体"/>
                <w:sz w:val="24"/>
              </w:rPr>
            </w:pPr>
          </w:p>
          <w:p w14:paraId="7F8C80D2">
            <w:pPr>
              <w:snapToGrid w:val="0"/>
              <w:spacing w:line="360" w:lineRule="auto"/>
              <w:ind w:firstLine="1080" w:firstLineChars="450"/>
              <w:jc w:val="right"/>
              <w:rPr>
                <w:rFonts w:ascii="宋体" w:hAnsi="宋体" w:cs="宋体"/>
                <w:sz w:val="24"/>
              </w:rPr>
            </w:pPr>
            <w:r>
              <w:rPr>
                <w:rFonts w:hint="eastAsia" w:ascii="宋体" w:hAnsi="宋体" w:cs="宋体"/>
                <w:sz w:val="24"/>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739AA933">
            <w:pPr>
              <w:snapToGrid w:val="0"/>
              <w:spacing w:line="360" w:lineRule="auto"/>
              <w:rPr>
                <w:rFonts w:ascii="宋体" w:hAnsi="宋体" w:cs="宋体"/>
                <w:sz w:val="24"/>
              </w:rPr>
            </w:pPr>
            <w:r>
              <w:rPr>
                <w:rFonts w:hint="eastAsia" w:ascii="宋体" w:hAnsi="宋体" w:cs="宋体"/>
                <w:sz w:val="24"/>
              </w:rPr>
              <w:t xml:space="preserve">乙方：（章）       </w:t>
            </w:r>
          </w:p>
          <w:p w14:paraId="6E215B1F">
            <w:pPr>
              <w:snapToGrid w:val="0"/>
              <w:spacing w:line="360" w:lineRule="auto"/>
              <w:rPr>
                <w:rFonts w:ascii="宋体" w:hAnsi="宋体" w:cs="宋体"/>
                <w:sz w:val="24"/>
              </w:rPr>
            </w:pPr>
          </w:p>
          <w:p w14:paraId="55D9E335">
            <w:pPr>
              <w:snapToGrid w:val="0"/>
              <w:spacing w:line="360" w:lineRule="auto"/>
              <w:rPr>
                <w:rFonts w:ascii="宋体" w:hAnsi="宋体" w:cs="宋体"/>
                <w:sz w:val="24"/>
              </w:rPr>
            </w:pPr>
            <w:r>
              <w:rPr>
                <w:rFonts w:hint="eastAsia" w:ascii="宋体" w:hAnsi="宋体" w:cs="宋体"/>
                <w:sz w:val="24"/>
              </w:rPr>
              <w:t xml:space="preserve">       </w:t>
            </w:r>
          </w:p>
          <w:p w14:paraId="65591773">
            <w:pPr>
              <w:snapToGrid w:val="0"/>
              <w:spacing w:line="360" w:lineRule="auto"/>
              <w:jc w:val="right"/>
              <w:rPr>
                <w:rFonts w:ascii="宋体" w:hAnsi="宋体" w:cs="宋体"/>
                <w:sz w:val="24"/>
              </w:rPr>
            </w:pPr>
          </w:p>
          <w:p w14:paraId="5A155C04">
            <w:pPr>
              <w:snapToGrid w:val="0"/>
              <w:spacing w:line="360" w:lineRule="auto"/>
              <w:jc w:val="right"/>
              <w:rPr>
                <w:rFonts w:ascii="宋体" w:hAnsi="宋体" w:cs="宋体"/>
                <w:sz w:val="24"/>
              </w:rPr>
            </w:pPr>
            <w:r>
              <w:rPr>
                <w:rFonts w:hint="eastAsia" w:ascii="宋体" w:hAnsi="宋体" w:cs="宋体"/>
                <w:sz w:val="24"/>
              </w:rPr>
              <w:t xml:space="preserve"> 年   月   日</w:t>
            </w:r>
          </w:p>
        </w:tc>
      </w:tr>
      <w:tr w14:paraId="5832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2481F3FE">
            <w:pPr>
              <w:snapToGrid w:val="0"/>
              <w:spacing w:line="360" w:lineRule="auto"/>
              <w:rPr>
                <w:rFonts w:ascii="宋体" w:hAnsi="宋体" w:cs="宋体"/>
                <w:sz w:val="24"/>
              </w:rPr>
            </w:pPr>
            <w:r>
              <w:rPr>
                <w:rFonts w:hint="eastAsia" w:ascii="宋体" w:hAnsi="宋体" w:cs="宋体"/>
                <w:sz w:val="24"/>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14:paraId="365B4121">
            <w:pPr>
              <w:snapToGrid w:val="0"/>
              <w:spacing w:line="360" w:lineRule="auto"/>
              <w:rPr>
                <w:rFonts w:ascii="宋体" w:hAnsi="宋体" w:cs="宋体"/>
                <w:sz w:val="24"/>
              </w:rPr>
            </w:pPr>
            <w:r>
              <w:rPr>
                <w:rFonts w:hint="eastAsia" w:ascii="宋体" w:hAnsi="宋体" w:cs="宋体"/>
                <w:sz w:val="24"/>
              </w:rPr>
              <w:t xml:space="preserve">单位地址： </w:t>
            </w:r>
          </w:p>
        </w:tc>
      </w:tr>
      <w:tr w14:paraId="2471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0134CDBC">
            <w:pPr>
              <w:snapToGrid w:val="0"/>
              <w:spacing w:line="360" w:lineRule="auto"/>
              <w:rPr>
                <w:rFonts w:ascii="宋体" w:hAnsi="宋体" w:cs="宋体"/>
                <w:sz w:val="24"/>
              </w:rPr>
            </w:pPr>
            <w:r>
              <w:rPr>
                <w:rFonts w:hint="eastAsia" w:ascii="宋体" w:hAnsi="宋体" w:cs="宋体"/>
                <w:sz w:val="24"/>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096F3A00">
            <w:pPr>
              <w:snapToGrid w:val="0"/>
              <w:spacing w:line="360" w:lineRule="auto"/>
              <w:rPr>
                <w:rFonts w:ascii="宋体" w:hAnsi="宋体" w:cs="宋体"/>
                <w:sz w:val="24"/>
              </w:rPr>
            </w:pPr>
            <w:r>
              <w:rPr>
                <w:rFonts w:hint="eastAsia" w:ascii="宋体" w:hAnsi="宋体" w:cs="宋体"/>
                <w:sz w:val="24"/>
              </w:rPr>
              <w:t>法定代表人：</w:t>
            </w:r>
          </w:p>
        </w:tc>
      </w:tr>
      <w:tr w14:paraId="7E37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014374C9">
            <w:pPr>
              <w:snapToGrid w:val="0"/>
              <w:spacing w:line="360" w:lineRule="auto"/>
              <w:rPr>
                <w:rFonts w:ascii="宋体" w:hAnsi="宋体" w:cs="宋体"/>
                <w:sz w:val="24"/>
              </w:rPr>
            </w:pPr>
            <w:r>
              <w:rPr>
                <w:rFonts w:hint="eastAsia" w:ascii="宋体" w:hAnsi="宋体" w:cs="宋体"/>
                <w:sz w:val="24"/>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7292900F">
            <w:pPr>
              <w:snapToGrid w:val="0"/>
              <w:spacing w:line="360" w:lineRule="auto"/>
              <w:rPr>
                <w:rFonts w:ascii="宋体" w:hAnsi="宋体" w:cs="宋体"/>
                <w:sz w:val="24"/>
              </w:rPr>
            </w:pPr>
            <w:r>
              <w:rPr>
                <w:rFonts w:hint="eastAsia" w:ascii="宋体" w:hAnsi="宋体" w:cs="宋体"/>
                <w:sz w:val="24"/>
              </w:rPr>
              <w:t>委托代理人：</w:t>
            </w:r>
          </w:p>
        </w:tc>
      </w:tr>
      <w:tr w14:paraId="3A54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31F49E82">
            <w:pPr>
              <w:snapToGrid w:val="0"/>
              <w:spacing w:line="360" w:lineRule="auto"/>
              <w:rPr>
                <w:rFonts w:ascii="宋体" w:hAnsi="宋体" w:cs="宋体"/>
                <w:sz w:val="24"/>
              </w:rPr>
            </w:pPr>
            <w:r>
              <w:rPr>
                <w:rFonts w:hint="eastAsia" w:ascii="宋体" w:hAnsi="宋体" w:cs="宋体"/>
                <w:sz w:val="24"/>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081E6F8A">
            <w:pPr>
              <w:snapToGrid w:val="0"/>
              <w:spacing w:line="360" w:lineRule="auto"/>
              <w:rPr>
                <w:rFonts w:ascii="宋体" w:hAnsi="宋体" w:cs="宋体"/>
                <w:sz w:val="24"/>
              </w:rPr>
            </w:pPr>
            <w:r>
              <w:rPr>
                <w:rFonts w:hint="eastAsia" w:ascii="宋体" w:hAnsi="宋体" w:cs="宋体"/>
                <w:sz w:val="24"/>
              </w:rPr>
              <w:t>电话：</w:t>
            </w:r>
          </w:p>
        </w:tc>
      </w:tr>
      <w:tr w14:paraId="2B98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5CD8970F">
            <w:pPr>
              <w:snapToGrid w:val="0"/>
              <w:spacing w:line="360" w:lineRule="auto"/>
              <w:rPr>
                <w:rFonts w:ascii="宋体" w:hAnsi="宋体" w:cs="宋体"/>
                <w:sz w:val="24"/>
              </w:rPr>
            </w:pPr>
            <w:r>
              <w:rPr>
                <w:rFonts w:hint="eastAsia" w:ascii="宋体" w:hAnsi="宋体" w:cs="宋体"/>
                <w:sz w:val="24"/>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4A8933F4">
            <w:pPr>
              <w:snapToGrid w:val="0"/>
              <w:spacing w:line="360" w:lineRule="auto"/>
              <w:rPr>
                <w:rFonts w:ascii="宋体" w:hAnsi="宋体" w:cs="宋体"/>
                <w:sz w:val="24"/>
              </w:rPr>
            </w:pPr>
            <w:r>
              <w:rPr>
                <w:rFonts w:hint="eastAsia" w:ascii="宋体" w:hAnsi="宋体" w:cs="宋体"/>
                <w:sz w:val="24"/>
              </w:rPr>
              <w:t xml:space="preserve">开户银行： </w:t>
            </w:r>
          </w:p>
        </w:tc>
      </w:tr>
      <w:tr w14:paraId="2BC3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6B37EA81">
            <w:pPr>
              <w:snapToGrid w:val="0"/>
              <w:spacing w:line="360" w:lineRule="auto"/>
              <w:rPr>
                <w:rFonts w:ascii="宋体" w:hAnsi="宋体" w:cs="宋体"/>
                <w:sz w:val="24"/>
              </w:rPr>
            </w:pPr>
            <w:r>
              <w:rPr>
                <w:rFonts w:hint="eastAsia" w:ascii="宋体" w:hAnsi="宋体" w:cs="宋体"/>
                <w:sz w:val="24"/>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7C53D8B6">
            <w:pPr>
              <w:snapToGrid w:val="0"/>
              <w:spacing w:line="360" w:lineRule="auto"/>
              <w:rPr>
                <w:rFonts w:ascii="宋体" w:hAnsi="宋体" w:cs="宋体"/>
                <w:sz w:val="24"/>
              </w:rPr>
            </w:pPr>
            <w:r>
              <w:rPr>
                <w:rFonts w:hint="eastAsia" w:ascii="宋体" w:hAnsi="宋体" w:cs="宋体"/>
                <w:sz w:val="24"/>
              </w:rPr>
              <w:t>账号：</w:t>
            </w:r>
          </w:p>
        </w:tc>
      </w:tr>
      <w:tr w14:paraId="717C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0ED06A9C">
            <w:pPr>
              <w:snapToGrid w:val="0"/>
              <w:spacing w:line="360" w:lineRule="auto"/>
              <w:rPr>
                <w:rFonts w:ascii="宋体" w:hAnsi="宋体" w:cs="宋体"/>
                <w:sz w:val="24"/>
              </w:rPr>
            </w:pPr>
            <w:r>
              <w:rPr>
                <w:rFonts w:hint="eastAsia" w:ascii="宋体" w:hAnsi="宋体" w:cs="宋体"/>
                <w:sz w:val="24"/>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7D78680A">
            <w:pPr>
              <w:snapToGrid w:val="0"/>
              <w:spacing w:line="360" w:lineRule="auto"/>
              <w:rPr>
                <w:rFonts w:ascii="宋体" w:hAnsi="宋体" w:cs="宋体"/>
                <w:sz w:val="24"/>
              </w:rPr>
            </w:pPr>
            <w:r>
              <w:rPr>
                <w:rFonts w:hint="eastAsia" w:ascii="宋体" w:hAnsi="宋体" w:cs="宋体"/>
                <w:sz w:val="24"/>
              </w:rPr>
              <w:t>邮政编码：</w:t>
            </w:r>
          </w:p>
        </w:tc>
      </w:tr>
    </w:tbl>
    <w:p w14:paraId="67EC3064">
      <w:pPr>
        <w:snapToGrid w:val="0"/>
        <w:spacing w:line="420" w:lineRule="exact"/>
        <w:ind w:left="1508" w:hanging="1507" w:hangingChars="718"/>
      </w:pPr>
    </w:p>
    <w:sectPr>
      <w:footerReference r:id="rId7" w:type="first"/>
      <w:footerReference r:id="rId6" w:type="default"/>
      <w:pgSz w:w="11906" w:h="16838"/>
      <w:pgMar w:top="1440" w:right="991"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MS Mincho">
    <w:altName w:val="MS Gothic"/>
    <w:panose1 w:val="02020609040205080304"/>
    <w:charset w:val="8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69293">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40AB0FBB">
                          <w:pPr>
                            <w:pStyle w:val="1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AzKt7HTAQAApAMAAA4AAAAAAAAAAQAgAAAAHwEA&#10;AGRycy9lMm9Eb2MueG1sUEsFBgAAAAAGAAYAWQEAAGQFAAAAAA==&#10;">
              <v:fill on="f" focussize="0,0"/>
              <v:stroke on="f"/>
              <v:imagedata o:title=""/>
              <o:lock v:ext="edit" aspectratio="f"/>
              <v:textbox inset="0mm,0mm,0mm,0mm" style="mso-fit-shape-to-text:t;">
                <w:txbxContent>
                  <w:p w14:paraId="40AB0FB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039D9">
    <w:pPr>
      <w:pStyle w:val="16"/>
      <w:jc w:val="center"/>
    </w:pPr>
    <w:r>
      <w:fldChar w:fldCharType="begin"/>
    </w:r>
    <w:r>
      <w:instrText xml:space="preserve"> PAGE   \* MERGEFORMAT </w:instrText>
    </w:r>
    <w:r>
      <w:fldChar w:fldCharType="separate"/>
    </w:r>
    <w:r>
      <w:rPr>
        <w:lang w:val="zh-CN"/>
      </w:rPr>
      <w:t>2</w:t>
    </w:r>
    <w:r>
      <w:rPr>
        <w:lang w:val="zh-CN"/>
      </w:rPr>
      <w:fldChar w:fldCharType="end"/>
    </w:r>
  </w:p>
  <w:p w14:paraId="592FFE28">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4F37">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43005EAE">
                          <w:pPr>
                            <w:pStyle w:val="16"/>
                            <w:jc w:val="center"/>
                          </w:pPr>
                          <w:r>
                            <w:fldChar w:fldCharType="begin"/>
                          </w:r>
                          <w:r>
                            <w:instrText xml:space="preserve"> PAGE   \* MERGEFORMAT </w:instrText>
                          </w:r>
                          <w:r>
                            <w:fldChar w:fldCharType="separate"/>
                          </w:r>
                          <w:r>
                            <w:rPr>
                              <w:lang w:val="zh-CN"/>
                            </w:rPr>
                            <w:t>84</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AIRidbTAQAApQMAAA4AAAAAAAAAAQAgAAAAHwEA&#10;AGRycy9lMm9Eb2MueG1sUEsFBgAAAAAGAAYAWQEAAGQFAAAAAA==&#10;">
              <v:fill on="f" focussize="0,0"/>
              <v:stroke on="f"/>
              <v:imagedata o:title=""/>
              <o:lock v:ext="edit" aspectratio="f"/>
              <v:textbox inset="0mm,0mm,0mm,0mm" style="mso-fit-shape-to-text:t;">
                <w:txbxContent>
                  <w:p w14:paraId="43005EAE">
                    <w:pPr>
                      <w:pStyle w:val="16"/>
                      <w:jc w:val="center"/>
                    </w:pPr>
                    <w:r>
                      <w:fldChar w:fldCharType="begin"/>
                    </w:r>
                    <w:r>
                      <w:instrText xml:space="preserve"> PAGE   \* MERGEFORMAT </w:instrText>
                    </w:r>
                    <w:r>
                      <w:fldChar w:fldCharType="separate"/>
                    </w:r>
                    <w:r>
                      <w:rPr>
                        <w:lang w:val="zh-CN"/>
                      </w:rPr>
                      <w:t>84</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01FBC">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4CD37444">
                          <w:pPr>
                            <w:pStyle w:val="16"/>
                          </w:pPr>
                          <w:r>
                            <w:fldChar w:fldCharType="begin"/>
                          </w:r>
                          <w:r>
                            <w:instrText xml:space="preserve"> PAGE  \* MERGEFORMAT </w:instrText>
                          </w:r>
                          <w:r>
                            <w:fldChar w:fldCharType="separate"/>
                          </w:r>
                          <w:r>
                            <w:t>58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GcugEfTAQAApAMAAA4AAAAAAAAAAQAgAAAAHwEA&#10;AGRycy9lMm9Eb2MueG1sUEsFBgAAAAAGAAYAWQEAAGQFAAAAAA==&#10;">
              <v:fill on="f" focussize="0,0"/>
              <v:stroke on="f"/>
              <v:imagedata o:title=""/>
              <o:lock v:ext="edit" aspectratio="f"/>
              <v:textbox inset="0mm,0mm,0mm,0mm" style="mso-fit-shape-to-text:t;">
                <w:txbxContent>
                  <w:p w14:paraId="4CD37444">
                    <w:pPr>
                      <w:pStyle w:val="1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270C4">
    <w:pPr>
      <w:pStyle w:val="24"/>
      <w:pBdr>
        <w:bottom w:val="none" w:color="auto" w:sz="0" w:space="0"/>
      </w:pBdr>
      <w:tabs>
        <w:tab w:val="clear" w:pos="8306"/>
      </w:tabs>
      <w:ind w:right="-42" w:rightChars="-20"/>
      <w:jc w:val="left"/>
      <w:rPr>
        <w:rFonts w:ascii="宋体" w:hAnsi="宋体" w:cs="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8B505"/>
    <w:multiLevelType w:val="singleLevel"/>
    <w:tmpl w:val="B188B505"/>
    <w:lvl w:ilvl="0" w:tentative="0">
      <w:start w:val="2"/>
      <w:numFmt w:val="decimal"/>
      <w:lvlText w:val="%1."/>
      <w:lvlJc w:val="left"/>
      <w:pPr>
        <w:tabs>
          <w:tab w:val="left" w:pos="312"/>
        </w:tabs>
      </w:pPr>
    </w:lvl>
  </w:abstractNum>
  <w:abstractNum w:abstractNumId="1">
    <w:nsid w:val="B27013E3"/>
    <w:multiLevelType w:val="singleLevel"/>
    <w:tmpl w:val="B27013E3"/>
    <w:lvl w:ilvl="0" w:tentative="0">
      <w:start w:val="3"/>
      <w:numFmt w:val="chineseCounting"/>
      <w:suff w:val="space"/>
      <w:lvlText w:val="第%1章"/>
      <w:lvlJc w:val="left"/>
      <w:rPr>
        <w:rFonts w:hint="eastAsia"/>
      </w:rPr>
    </w:lvl>
  </w:abstractNum>
  <w:abstractNum w:abstractNumId="2">
    <w:nsid w:val="E286FB6D"/>
    <w:multiLevelType w:val="singleLevel"/>
    <w:tmpl w:val="E286FB6D"/>
    <w:lvl w:ilvl="0" w:tentative="0">
      <w:start w:val="3"/>
      <w:numFmt w:val="chineseCounting"/>
      <w:suff w:val="nothing"/>
      <w:lvlText w:val="%1、"/>
      <w:lvlJc w:val="left"/>
      <w:rPr>
        <w:rFonts w:hint="eastAsia"/>
      </w:rPr>
    </w:lvl>
  </w:abstractNum>
  <w:abstractNum w:abstractNumId="3">
    <w:nsid w:val="4BD394CE"/>
    <w:multiLevelType w:val="singleLevel"/>
    <w:tmpl w:val="4BD394CE"/>
    <w:lvl w:ilvl="0" w:tentative="0">
      <w:start w:val="5"/>
      <w:numFmt w:val="chineseCounting"/>
      <w:suff w:val="space"/>
      <w:lvlText w:val="第%1条"/>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MGMzMThmNWI1MmZlODc2N2UwNDVmN2NmN2RhMTMifQ=="/>
  </w:docVars>
  <w:rsids>
    <w:rsidRoot w:val="006827E9"/>
    <w:rsid w:val="000041F0"/>
    <w:rsid w:val="00011647"/>
    <w:rsid w:val="00025E81"/>
    <w:rsid w:val="000551E5"/>
    <w:rsid w:val="00064E12"/>
    <w:rsid w:val="00065884"/>
    <w:rsid w:val="00081B17"/>
    <w:rsid w:val="000838CB"/>
    <w:rsid w:val="0009508F"/>
    <w:rsid w:val="000A67D5"/>
    <w:rsid w:val="000B0D8E"/>
    <w:rsid w:val="000B3D44"/>
    <w:rsid w:val="000B70F8"/>
    <w:rsid w:val="000C3F52"/>
    <w:rsid w:val="000D0AC6"/>
    <w:rsid w:val="000D181B"/>
    <w:rsid w:val="000D5F55"/>
    <w:rsid w:val="000E1138"/>
    <w:rsid w:val="000E1710"/>
    <w:rsid w:val="000E54BD"/>
    <w:rsid w:val="000F0F45"/>
    <w:rsid w:val="00102AC1"/>
    <w:rsid w:val="00103D36"/>
    <w:rsid w:val="00104929"/>
    <w:rsid w:val="00122150"/>
    <w:rsid w:val="001239A8"/>
    <w:rsid w:val="00130A0E"/>
    <w:rsid w:val="0014665B"/>
    <w:rsid w:val="00157C85"/>
    <w:rsid w:val="001622CF"/>
    <w:rsid w:val="00162903"/>
    <w:rsid w:val="00171E68"/>
    <w:rsid w:val="00172166"/>
    <w:rsid w:val="001741CC"/>
    <w:rsid w:val="00176603"/>
    <w:rsid w:val="00183A99"/>
    <w:rsid w:val="00184BDF"/>
    <w:rsid w:val="0018735A"/>
    <w:rsid w:val="001B4B3B"/>
    <w:rsid w:val="001C2D3D"/>
    <w:rsid w:val="001D06D3"/>
    <w:rsid w:val="001D1183"/>
    <w:rsid w:val="001D6FFC"/>
    <w:rsid w:val="001D78FD"/>
    <w:rsid w:val="001E44F7"/>
    <w:rsid w:val="00201BF8"/>
    <w:rsid w:val="0021361B"/>
    <w:rsid w:val="00231452"/>
    <w:rsid w:val="00236F70"/>
    <w:rsid w:val="00237FFC"/>
    <w:rsid w:val="00247F30"/>
    <w:rsid w:val="00250B68"/>
    <w:rsid w:val="00260745"/>
    <w:rsid w:val="00271F85"/>
    <w:rsid w:val="00277744"/>
    <w:rsid w:val="00280654"/>
    <w:rsid w:val="00284BB1"/>
    <w:rsid w:val="00285027"/>
    <w:rsid w:val="0029364C"/>
    <w:rsid w:val="002A3BF3"/>
    <w:rsid w:val="002A4949"/>
    <w:rsid w:val="002B4E42"/>
    <w:rsid w:val="002B6AEF"/>
    <w:rsid w:val="002C0681"/>
    <w:rsid w:val="002C5B93"/>
    <w:rsid w:val="002C67D8"/>
    <w:rsid w:val="002C7CAC"/>
    <w:rsid w:val="002D4FD5"/>
    <w:rsid w:val="002D694C"/>
    <w:rsid w:val="002D795A"/>
    <w:rsid w:val="002E74AC"/>
    <w:rsid w:val="00301B7E"/>
    <w:rsid w:val="00303C1B"/>
    <w:rsid w:val="003155E4"/>
    <w:rsid w:val="00316108"/>
    <w:rsid w:val="00321011"/>
    <w:rsid w:val="00323FB0"/>
    <w:rsid w:val="003251E7"/>
    <w:rsid w:val="00325E98"/>
    <w:rsid w:val="00334AC5"/>
    <w:rsid w:val="00335EE5"/>
    <w:rsid w:val="00336752"/>
    <w:rsid w:val="00346D9A"/>
    <w:rsid w:val="003514BC"/>
    <w:rsid w:val="003563C7"/>
    <w:rsid w:val="00367FD6"/>
    <w:rsid w:val="003778FC"/>
    <w:rsid w:val="003829F5"/>
    <w:rsid w:val="0039743D"/>
    <w:rsid w:val="003A7DA6"/>
    <w:rsid w:val="003B0DFE"/>
    <w:rsid w:val="003B1DB1"/>
    <w:rsid w:val="003B57ED"/>
    <w:rsid w:val="003C038D"/>
    <w:rsid w:val="003C659A"/>
    <w:rsid w:val="003C7580"/>
    <w:rsid w:val="003D1030"/>
    <w:rsid w:val="003D5C1A"/>
    <w:rsid w:val="003E0DBF"/>
    <w:rsid w:val="003E1469"/>
    <w:rsid w:val="003E352C"/>
    <w:rsid w:val="00400E08"/>
    <w:rsid w:val="00406517"/>
    <w:rsid w:val="00407BDA"/>
    <w:rsid w:val="0041487E"/>
    <w:rsid w:val="00415329"/>
    <w:rsid w:val="00422803"/>
    <w:rsid w:val="00424E4A"/>
    <w:rsid w:val="00432A99"/>
    <w:rsid w:val="00433310"/>
    <w:rsid w:val="00436C7B"/>
    <w:rsid w:val="00437C68"/>
    <w:rsid w:val="0044092D"/>
    <w:rsid w:val="00446739"/>
    <w:rsid w:val="00460594"/>
    <w:rsid w:val="00461E24"/>
    <w:rsid w:val="00474D37"/>
    <w:rsid w:val="00476530"/>
    <w:rsid w:val="00477F6C"/>
    <w:rsid w:val="00481990"/>
    <w:rsid w:val="00483988"/>
    <w:rsid w:val="00487FAC"/>
    <w:rsid w:val="00490932"/>
    <w:rsid w:val="004A645A"/>
    <w:rsid w:val="004B30BA"/>
    <w:rsid w:val="004C016B"/>
    <w:rsid w:val="004C12F4"/>
    <w:rsid w:val="004C2B0D"/>
    <w:rsid w:val="004C3358"/>
    <w:rsid w:val="004C4171"/>
    <w:rsid w:val="004C470E"/>
    <w:rsid w:val="004C7541"/>
    <w:rsid w:val="004D0B64"/>
    <w:rsid w:val="004D471E"/>
    <w:rsid w:val="004E5FEF"/>
    <w:rsid w:val="004F13B5"/>
    <w:rsid w:val="004F6483"/>
    <w:rsid w:val="00515015"/>
    <w:rsid w:val="0052145D"/>
    <w:rsid w:val="00524711"/>
    <w:rsid w:val="00524DD5"/>
    <w:rsid w:val="00537D2E"/>
    <w:rsid w:val="00542FDB"/>
    <w:rsid w:val="005477D3"/>
    <w:rsid w:val="00551F52"/>
    <w:rsid w:val="005542E7"/>
    <w:rsid w:val="005606C7"/>
    <w:rsid w:val="00561CF6"/>
    <w:rsid w:val="00582AC5"/>
    <w:rsid w:val="005A15CD"/>
    <w:rsid w:val="005A1DD2"/>
    <w:rsid w:val="005A74AF"/>
    <w:rsid w:val="005B163C"/>
    <w:rsid w:val="005B515E"/>
    <w:rsid w:val="005D3C72"/>
    <w:rsid w:val="005E0769"/>
    <w:rsid w:val="005E0E66"/>
    <w:rsid w:val="005E302A"/>
    <w:rsid w:val="005E47A6"/>
    <w:rsid w:val="005E4F12"/>
    <w:rsid w:val="005F244C"/>
    <w:rsid w:val="005F30B5"/>
    <w:rsid w:val="005F6AF2"/>
    <w:rsid w:val="00600A98"/>
    <w:rsid w:val="00600BAE"/>
    <w:rsid w:val="00607997"/>
    <w:rsid w:val="0061050A"/>
    <w:rsid w:val="006105F1"/>
    <w:rsid w:val="00622349"/>
    <w:rsid w:val="00624A76"/>
    <w:rsid w:val="0063593E"/>
    <w:rsid w:val="00642CDF"/>
    <w:rsid w:val="006454DB"/>
    <w:rsid w:val="00653282"/>
    <w:rsid w:val="00653F8B"/>
    <w:rsid w:val="006656D2"/>
    <w:rsid w:val="00667BA9"/>
    <w:rsid w:val="006733E3"/>
    <w:rsid w:val="006747ED"/>
    <w:rsid w:val="00676DFD"/>
    <w:rsid w:val="00680743"/>
    <w:rsid w:val="006827E9"/>
    <w:rsid w:val="00683CAC"/>
    <w:rsid w:val="00696B59"/>
    <w:rsid w:val="006A69C6"/>
    <w:rsid w:val="006C123C"/>
    <w:rsid w:val="006C5ABE"/>
    <w:rsid w:val="006D64BF"/>
    <w:rsid w:val="006E3785"/>
    <w:rsid w:val="006E681C"/>
    <w:rsid w:val="006E7E87"/>
    <w:rsid w:val="006F2BAA"/>
    <w:rsid w:val="00702448"/>
    <w:rsid w:val="00703957"/>
    <w:rsid w:val="00725982"/>
    <w:rsid w:val="0073443A"/>
    <w:rsid w:val="00735CFC"/>
    <w:rsid w:val="007410D6"/>
    <w:rsid w:val="00741637"/>
    <w:rsid w:val="0074466C"/>
    <w:rsid w:val="0075174F"/>
    <w:rsid w:val="00755A60"/>
    <w:rsid w:val="00763716"/>
    <w:rsid w:val="00766A89"/>
    <w:rsid w:val="00767C43"/>
    <w:rsid w:val="00776F49"/>
    <w:rsid w:val="00781A40"/>
    <w:rsid w:val="007843C7"/>
    <w:rsid w:val="00786D05"/>
    <w:rsid w:val="00790C8C"/>
    <w:rsid w:val="007956A7"/>
    <w:rsid w:val="00796139"/>
    <w:rsid w:val="007A3FA1"/>
    <w:rsid w:val="007B5F3E"/>
    <w:rsid w:val="007B670E"/>
    <w:rsid w:val="007C0C93"/>
    <w:rsid w:val="007C6B57"/>
    <w:rsid w:val="007D083E"/>
    <w:rsid w:val="007E2280"/>
    <w:rsid w:val="007E5E5D"/>
    <w:rsid w:val="00800737"/>
    <w:rsid w:val="0080634C"/>
    <w:rsid w:val="00813F45"/>
    <w:rsid w:val="008144B6"/>
    <w:rsid w:val="00824D73"/>
    <w:rsid w:val="00826220"/>
    <w:rsid w:val="00832F10"/>
    <w:rsid w:val="008334EF"/>
    <w:rsid w:val="0083393F"/>
    <w:rsid w:val="00837CAC"/>
    <w:rsid w:val="00857455"/>
    <w:rsid w:val="00857ACE"/>
    <w:rsid w:val="00861AC8"/>
    <w:rsid w:val="008A1904"/>
    <w:rsid w:val="008B0A7C"/>
    <w:rsid w:val="008B3D61"/>
    <w:rsid w:val="008C0100"/>
    <w:rsid w:val="008C641F"/>
    <w:rsid w:val="008E3074"/>
    <w:rsid w:val="008F434E"/>
    <w:rsid w:val="008F61BC"/>
    <w:rsid w:val="009053D3"/>
    <w:rsid w:val="00907C44"/>
    <w:rsid w:val="00921819"/>
    <w:rsid w:val="009319F9"/>
    <w:rsid w:val="00933E7F"/>
    <w:rsid w:val="0093683F"/>
    <w:rsid w:val="00947504"/>
    <w:rsid w:val="00955440"/>
    <w:rsid w:val="00956583"/>
    <w:rsid w:val="009616AA"/>
    <w:rsid w:val="009679B2"/>
    <w:rsid w:val="0097562A"/>
    <w:rsid w:val="00981BD5"/>
    <w:rsid w:val="009903BB"/>
    <w:rsid w:val="00994085"/>
    <w:rsid w:val="00995C8D"/>
    <w:rsid w:val="009B5B27"/>
    <w:rsid w:val="009C39FC"/>
    <w:rsid w:val="009C7375"/>
    <w:rsid w:val="009C7421"/>
    <w:rsid w:val="009D1900"/>
    <w:rsid w:val="009E0377"/>
    <w:rsid w:val="009F20C8"/>
    <w:rsid w:val="00A048D8"/>
    <w:rsid w:val="00A20404"/>
    <w:rsid w:val="00A2353F"/>
    <w:rsid w:val="00A302B2"/>
    <w:rsid w:val="00A37B5E"/>
    <w:rsid w:val="00A46776"/>
    <w:rsid w:val="00A517B6"/>
    <w:rsid w:val="00A6396E"/>
    <w:rsid w:val="00A650A8"/>
    <w:rsid w:val="00A671E7"/>
    <w:rsid w:val="00A70424"/>
    <w:rsid w:val="00A73070"/>
    <w:rsid w:val="00A7554A"/>
    <w:rsid w:val="00A839DD"/>
    <w:rsid w:val="00A848EC"/>
    <w:rsid w:val="00A94742"/>
    <w:rsid w:val="00AA2586"/>
    <w:rsid w:val="00AB1650"/>
    <w:rsid w:val="00AB1FD1"/>
    <w:rsid w:val="00AD4EF1"/>
    <w:rsid w:val="00AD61EA"/>
    <w:rsid w:val="00AD7F9E"/>
    <w:rsid w:val="00AE1C3E"/>
    <w:rsid w:val="00AF710D"/>
    <w:rsid w:val="00B0112E"/>
    <w:rsid w:val="00B02B85"/>
    <w:rsid w:val="00B05299"/>
    <w:rsid w:val="00B07D87"/>
    <w:rsid w:val="00B07E1A"/>
    <w:rsid w:val="00B20052"/>
    <w:rsid w:val="00B242EF"/>
    <w:rsid w:val="00B25487"/>
    <w:rsid w:val="00B452A6"/>
    <w:rsid w:val="00B70D24"/>
    <w:rsid w:val="00B771B9"/>
    <w:rsid w:val="00B82E0D"/>
    <w:rsid w:val="00B87ECE"/>
    <w:rsid w:val="00B9583A"/>
    <w:rsid w:val="00BB0233"/>
    <w:rsid w:val="00BB0A9C"/>
    <w:rsid w:val="00BB58E2"/>
    <w:rsid w:val="00BB729A"/>
    <w:rsid w:val="00BC2B16"/>
    <w:rsid w:val="00BC3379"/>
    <w:rsid w:val="00BC4B80"/>
    <w:rsid w:val="00BC6215"/>
    <w:rsid w:val="00BE48D5"/>
    <w:rsid w:val="00C0076C"/>
    <w:rsid w:val="00C050C1"/>
    <w:rsid w:val="00C31BF7"/>
    <w:rsid w:val="00C3477B"/>
    <w:rsid w:val="00C34EFF"/>
    <w:rsid w:val="00C35D8A"/>
    <w:rsid w:val="00C445B6"/>
    <w:rsid w:val="00C46FE0"/>
    <w:rsid w:val="00C47E77"/>
    <w:rsid w:val="00C72114"/>
    <w:rsid w:val="00C76110"/>
    <w:rsid w:val="00C85DDC"/>
    <w:rsid w:val="00CA14AC"/>
    <w:rsid w:val="00CA7C9F"/>
    <w:rsid w:val="00CB4FFE"/>
    <w:rsid w:val="00CC191D"/>
    <w:rsid w:val="00CC5BE2"/>
    <w:rsid w:val="00CD0E4E"/>
    <w:rsid w:val="00CE0931"/>
    <w:rsid w:val="00CF10BB"/>
    <w:rsid w:val="00CF132F"/>
    <w:rsid w:val="00D10C0C"/>
    <w:rsid w:val="00D22365"/>
    <w:rsid w:val="00D2323D"/>
    <w:rsid w:val="00D26962"/>
    <w:rsid w:val="00D26D2C"/>
    <w:rsid w:val="00D27ED0"/>
    <w:rsid w:val="00D35553"/>
    <w:rsid w:val="00D37E76"/>
    <w:rsid w:val="00D44C03"/>
    <w:rsid w:val="00D575D0"/>
    <w:rsid w:val="00D622B0"/>
    <w:rsid w:val="00D64F05"/>
    <w:rsid w:val="00D71933"/>
    <w:rsid w:val="00D75D8B"/>
    <w:rsid w:val="00D768C8"/>
    <w:rsid w:val="00D77428"/>
    <w:rsid w:val="00D863B1"/>
    <w:rsid w:val="00D91526"/>
    <w:rsid w:val="00D92CDB"/>
    <w:rsid w:val="00DA1371"/>
    <w:rsid w:val="00DB686A"/>
    <w:rsid w:val="00DC2D5C"/>
    <w:rsid w:val="00DC5E87"/>
    <w:rsid w:val="00DC620A"/>
    <w:rsid w:val="00DD1F82"/>
    <w:rsid w:val="00DD3CF0"/>
    <w:rsid w:val="00DD6028"/>
    <w:rsid w:val="00DF3C09"/>
    <w:rsid w:val="00E073A3"/>
    <w:rsid w:val="00E1454A"/>
    <w:rsid w:val="00E40DFD"/>
    <w:rsid w:val="00E519FE"/>
    <w:rsid w:val="00E571F5"/>
    <w:rsid w:val="00E62987"/>
    <w:rsid w:val="00E66FB2"/>
    <w:rsid w:val="00E67D13"/>
    <w:rsid w:val="00E87684"/>
    <w:rsid w:val="00E93DEC"/>
    <w:rsid w:val="00E952D7"/>
    <w:rsid w:val="00EA255D"/>
    <w:rsid w:val="00EA75DE"/>
    <w:rsid w:val="00EB53BA"/>
    <w:rsid w:val="00EB7B4F"/>
    <w:rsid w:val="00EC0673"/>
    <w:rsid w:val="00EC1AAA"/>
    <w:rsid w:val="00ED333B"/>
    <w:rsid w:val="00EE3417"/>
    <w:rsid w:val="00EF0A10"/>
    <w:rsid w:val="00EF649B"/>
    <w:rsid w:val="00F044E1"/>
    <w:rsid w:val="00F07D78"/>
    <w:rsid w:val="00F15BDE"/>
    <w:rsid w:val="00F26AF3"/>
    <w:rsid w:val="00F32DC8"/>
    <w:rsid w:val="00F51FF5"/>
    <w:rsid w:val="00F522CC"/>
    <w:rsid w:val="00F62F2E"/>
    <w:rsid w:val="00F83339"/>
    <w:rsid w:val="00F86B1A"/>
    <w:rsid w:val="00F87713"/>
    <w:rsid w:val="00F90CEE"/>
    <w:rsid w:val="00F91AF4"/>
    <w:rsid w:val="00F92A2C"/>
    <w:rsid w:val="00FB5F17"/>
    <w:rsid w:val="00FC4826"/>
    <w:rsid w:val="00FC5344"/>
    <w:rsid w:val="00FC7E18"/>
    <w:rsid w:val="00FD5A78"/>
    <w:rsid w:val="00FD5ECD"/>
    <w:rsid w:val="00FE1659"/>
    <w:rsid w:val="00FE2985"/>
    <w:rsid w:val="00FE2C82"/>
    <w:rsid w:val="00FF06FF"/>
    <w:rsid w:val="00FF40E0"/>
    <w:rsid w:val="00FF491E"/>
    <w:rsid w:val="01CA7B5B"/>
    <w:rsid w:val="04A65B28"/>
    <w:rsid w:val="05CB4105"/>
    <w:rsid w:val="078F7797"/>
    <w:rsid w:val="07F10F99"/>
    <w:rsid w:val="0B4C4A76"/>
    <w:rsid w:val="0E62333B"/>
    <w:rsid w:val="123F5BC5"/>
    <w:rsid w:val="13263B2B"/>
    <w:rsid w:val="142C1FAE"/>
    <w:rsid w:val="147F6BA0"/>
    <w:rsid w:val="16EE30D7"/>
    <w:rsid w:val="17E04452"/>
    <w:rsid w:val="18AA1BC3"/>
    <w:rsid w:val="1B334F37"/>
    <w:rsid w:val="1DB26589"/>
    <w:rsid w:val="1F1D31F8"/>
    <w:rsid w:val="1FF5701F"/>
    <w:rsid w:val="2059673D"/>
    <w:rsid w:val="21E62252"/>
    <w:rsid w:val="25222EAB"/>
    <w:rsid w:val="26A5448A"/>
    <w:rsid w:val="2A41271B"/>
    <w:rsid w:val="2E586286"/>
    <w:rsid w:val="2FDC6A42"/>
    <w:rsid w:val="2FDD1605"/>
    <w:rsid w:val="302565E2"/>
    <w:rsid w:val="329262FE"/>
    <w:rsid w:val="33602416"/>
    <w:rsid w:val="34270BD4"/>
    <w:rsid w:val="357C21E9"/>
    <w:rsid w:val="36DE21C1"/>
    <w:rsid w:val="3A1219DE"/>
    <w:rsid w:val="3B707EAE"/>
    <w:rsid w:val="3D826E7B"/>
    <w:rsid w:val="3E3068D7"/>
    <w:rsid w:val="3E53477B"/>
    <w:rsid w:val="40BC26A4"/>
    <w:rsid w:val="40F97CA8"/>
    <w:rsid w:val="41287E2A"/>
    <w:rsid w:val="42AD6213"/>
    <w:rsid w:val="43F9776B"/>
    <w:rsid w:val="475253E2"/>
    <w:rsid w:val="4755795C"/>
    <w:rsid w:val="486F26F2"/>
    <w:rsid w:val="49356A8C"/>
    <w:rsid w:val="495E6F98"/>
    <w:rsid w:val="4A031344"/>
    <w:rsid w:val="4D966503"/>
    <w:rsid w:val="4E276E42"/>
    <w:rsid w:val="4E6A04F7"/>
    <w:rsid w:val="4F247D92"/>
    <w:rsid w:val="4F4E4B69"/>
    <w:rsid w:val="501110BB"/>
    <w:rsid w:val="51B11A29"/>
    <w:rsid w:val="5359307D"/>
    <w:rsid w:val="54FE4BE1"/>
    <w:rsid w:val="553813C7"/>
    <w:rsid w:val="57EA4D08"/>
    <w:rsid w:val="5BA836E6"/>
    <w:rsid w:val="5E4111C1"/>
    <w:rsid w:val="5F0A1402"/>
    <w:rsid w:val="62436329"/>
    <w:rsid w:val="64B630A6"/>
    <w:rsid w:val="65C379B8"/>
    <w:rsid w:val="67580891"/>
    <w:rsid w:val="67CC75AA"/>
    <w:rsid w:val="67F80B2E"/>
    <w:rsid w:val="685B1500"/>
    <w:rsid w:val="6A4E394A"/>
    <w:rsid w:val="6A6F1D79"/>
    <w:rsid w:val="6BB01BFE"/>
    <w:rsid w:val="6FC7647F"/>
    <w:rsid w:val="734F5783"/>
    <w:rsid w:val="7374477B"/>
    <w:rsid w:val="748A5170"/>
    <w:rsid w:val="756C0A6E"/>
    <w:rsid w:val="780D4FB8"/>
    <w:rsid w:val="78274451"/>
    <w:rsid w:val="79501600"/>
    <w:rsid w:val="7A3C000F"/>
    <w:rsid w:val="7B7B492E"/>
    <w:rsid w:val="7B905AFC"/>
    <w:rsid w:val="7C906658"/>
    <w:rsid w:val="7EC00949"/>
    <w:rsid w:val="7F1E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autoRedefine/>
    <w:qFormat/>
    <w:uiPriority w:val="0"/>
    <w:pPr>
      <w:keepNext/>
      <w:keepLines/>
      <w:adjustRightInd w:val="0"/>
      <w:snapToGrid w:val="0"/>
      <w:spacing w:line="480" w:lineRule="auto"/>
      <w:jc w:val="center"/>
      <w:outlineLvl w:val="0"/>
    </w:pPr>
    <w:rPr>
      <w:b/>
      <w:kern w:val="44"/>
      <w:sz w:val="32"/>
    </w:rPr>
  </w:style>
  <w:style w:type="paragraph" w:styleId="3">
    <w:name w:val="heading 2"/>
    <w:basedOn w:val="1"/>
    <w:next w:val="1"/>
    <w:link w:val="59"/>
    <w:autoRedefine/>
    <w:qFormat/>
    <w:uiPriority w:val="0"/>
    <w:pPr>
      <w:keepNext/>
      <w:keepLines/>
      <w:adjustRightInd w:val="0"/>
      <w:snapToGrid w:val="0"/>
      <w:spacing w:line="360" w:lineRule="auto"/>
      <w:jc w:val="center"/>
      <w:outlineLvl w:val="1"/>
    </w:pPr>
    <w:rPr>
      <w:rFonts w:ascii="Cambria" w:hAnsi="Cambria"/>
      <w:b/>
      <w:bCs/>
      <w:sz w:val="32"/>
      <w:szCs w:val="32"/>
    </w:rPr>
  </w:style>
  <w:style w:type="paragraph" w:styleId="4">
    <w:name w:val="heading 3"/>
    <w:next w:val="1"/>
    <w:link w:val="43"/>
    <w:autoRedefine/>
    <w:qFormat/>
    <w:uiPriority w:val="0"/>
    <w:pPr>
      <w:keepNext/>
      <w:keepLines/>
      <w:adjustRightInd w:val="0"/>
      <w:snapToGrid w:val="0"/>
      <w:spacing w:beforeLines="50" w:line="360" w:lineRule="auto"/>
      <w:outlineLvl w:val="2"/>
    </w:pPr>
    <w:rPr>
      <w:rFonts w:ascii="Times New Roman" w:hAnsi="Times New Roman" w:eastAsia="黑体" w:cs="宋体"/>
      <w:b/>
      <w:snapToGrid w:val="0"/>
      <w:sz w:val="30"/>
      <w:szCs w:val="28"/>
      <w:lang w:val="en-US" w:eastAsia="zh-CN" w:bidi="ar-SA"/>
    </w:rPr>
  </w:style>
  <w:style w:type="paragraph" w:styleId="5">
    <w:name w:val="heading 4"/>
    <w:basedOn w:val="1"/>
    <w:next w:val="1"/>
    <w:link w:val="44"/>
    <w:autoRedefine/>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45"/>
    <w:autoRedefine/>
    <w:qFormat/>
    <w:uiPriority w:val="0"/>
    <w:pPr>
      <w:keepNext/>
      <w:keepLines/>
      <w:spacing w:before="280" w:after="290" w:line="376" w:lineRule="auto"/>
      <w:outlineLvl w:val="4"/>
    </w:pPr>
    <w:rPr>
      <w:b/>
      <w:bCs/>
      <w:sz w:val="28"/>
      <w:szCs w:val="28"/>
    </w:rPr>
  </w:style>
  <w:style w:type="paragraph" w:styleId="8">
    <w:name w:val="heading 8"/>
    <w:basedOn w:val="1"/>
    <w:next w:val="1"/>
    <w:link w:val="61"/>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0"/>
    <w:autoRedefine/>
    <w:qFormat/>
    <w:uiPriority w:val="0"/>
    <w:pPr>
      <w:ind w:firstLine="420"/>
    </w:pPr>
    <w:rPr>
      <w:szCs w:val="20"/>
    </w:rPr>
  </w:style>
  <w:style w:type="paragraph" w:styleId="9">
    <w:name w:val="index 8"/>
    <w:basedOn w:val="1"/>
    <w:next w:val="1"/>
    <w:autoRedefine/>
    <w:qFormat/>
    <w:uiPriority w:val="0"/>
    <w:pPr>
      <w:ind w:left="2940"/>
    </w:pPr>
  </w:style>
  <w:style w:type="paragraph" w:styleId="10">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1">
    <w:name w:val="caption"/>
    <w:next w:val="1"/>
    <w:autoRedefine/>
    <w:qFormat/>
    <w:uiPriority w:val="99"/>
    <w:pPr>
      <w:spacing w:line="360" w:lineRule="auto"/>
      <w:ind w:firstLine="200" w:firstLineChars="200"/>
      <w:jc w:val="center"/>
    </w:pPr>
    <w:rPr>
      <w:rFonts w:ascii="Cambria" w:hAnsi="Cambria" w:eastAsia="黑体" w:cs="Times New Roman"/>
      <w:kern w:val="2"/>
      <w:sz w:val="24"/>
      <w:lang w:val="en-US" w:eastAsia="zh-CN" w:bidi="ar-SA"/>
    </w:rPr>
  </w:style>
  <w:style w:type="paragraph" w:styleId="12">
    <w:name w:val="annotation text"/>
    <w:basedOn w:val="1"/>
    <w:link w:val="62"/>
    <w:autoRedefine/>
    <w:qFormat/>
    <w:uiPriority w:val="99"/>
    <w:pPr>
      <w:jc w:val="left"/>
    </w:pPr>
  </w:style>
  <w:style w:type="paragraph" w:styleId="13">
    <w:name w:val="Body Text 3"/>
    <w:basedOn w:val="1"/>
    <w:link w:val="51"/>
    <w:autoRedefine/>
    <w:unhideWhenUsed/>
    <w:qFormat/>
    <w:uiPriority w:val="99"/>
    <w:pPr>
      <w:spacing w:after="120"/>
    </w:pPr>
    <w:rPr>
      <w:sz w:val="16"/>
      <w:szCs w:val="16"/>
    </w:rPr>
  </w:style>
  <w:style w:type="paragraph" w:styleId="14">
    <w:name w:val="Body Text"/>
    <w:basedOn w:val="1"/>
    <w:next w:val="15"/>
    <w:link w:val="63"/>
    <w:autoRedefine/>
    <w:unhideWhenUsed/>
    <w:qFormat/>
    <w:uiPriority w:val="0"/>
    <w:pPr>
      <w:spacing w:after="120"/>
    </w:pPr>
  </w:style>
  <w:style w:type="paragraph" w:styleId="15">
    <w:name w:val="Body Text 2"/>
    <w:basedOn w:val="1"/>
    <w:next w:val="16"/>
    <w:qFormat/>
    <w:uiPriority w:val="0"/>
    <w:pPr>
      <w:spacing w:after="120" w:line="480" w:lineRule="auto"/>
    </w:pPr>
  </w:style>
  <w:style w:type="paragraph" w:styleId="16">
    <w:name w:val="footer"/>
    <w:basedOn w:val="1"/>
    <w:next w:val="17"/>
    <w:link w:val="55"/>
    <w:autoRedefine/>
    <w:unhideWhenUsed/>
    <w:qFormat/>
    <w:uiPriority w:val="99"/>
    <w:pPr>
      <w:tabs>
        <w:tab w:val="center" w:pos="4153"/>
        <w:tab w:val="right" w:pos="8306"/>
      </w:tabs>
      <w:snapToGrid w:val="0"/>
      <w:jc w:val="left"/>
    </w:pPr>
    <w:rPr>
      <w:kern w:val="0"/>
      <w:sz w:val="18"/>
      <w:szCs w:val="18"/>
    </w:rPr>
  </w:style>
  <w:style w:type="paragraph" w:styleId="17">
    <w:name w:val="List Continue"/>
    <w:basedOn w:val="1"/>
    <w:next w:val="14"/>
    <w:qFormat/>
    <w:uiPriority w:val="0"/>
    <w:pPr>
      <w:widowControl/>
      <w:spacing w:before="280" w:after="280"/>
    </w:pPr>
  </w:style>
  <w:style w:type="paragraph" w:styleId="18">
    <w:name w:val="Body Text Indent"/>
    <w:basedOn w:val="1"/>
    <w:link w:val="48"/>
    <w:autoRedefine/>
    <w:unhideWhenUsed/>
    <w:qFormat/>
    <w:uiPriority w:val="0"/>
    <w:pPr>
      <w:spacing w:after="120"/>
      <w:ind w:left="420" w:leftChars="200"/>
    </w:pPr>
  </w:style>
  <w:style w:type="paragraph" w:styleId="19">
    <w:name w:val="List 2"/>
    <w:basedOn w:val="1"/>
    <w:autoRedefine/>
    <w:unhideWhenUsed/>
    <w:qFormat/>
    <w:uiPriority w:val="99"/>
    <w:pPr>
      <w:ind w:left="100" w:leftChars="200" w:hanging="200" w:hangingChars="200"/>
      <w:contextualSpacing/>
    </w:pPr>
  </w:style>
  <w:style w:type="paragraph" w:styleId="20">
    <w:name w:val="toc 3"/>
    <w:basedOn w:val="1"/>
    <w:next w:val="1"/>
    <w:autoRedefine/>
    <w:unhideWhenUsed/>
    <w:qFormat/>
    <w:uiPriority w:val="39"/>
    <w:pPr>
      <w:ind w:left="840" w:leftChars="400"/>
    </w:pPr>
  </w:style>
  <w:style w:type="paragraph" w:styleId="21">
    <w:name w:val="Plain Text"/>
    <w:basedOn w:val="1"/>
    <w:next w:val="5"/>
    <w:link w:val="64"/>
    <w:autoRedefine/>
    <w:qFormat/>
    <w:uiPriority w:val="0"/>
    <w:rPr>
      <w:rFonts w:ascii="宋体" w:hAnsi="Courier New"/>
      <w:kern w:val="0"/>
      <w:sz w:val="20"/>
      <w:szCs w:val="21"/>
    </w:rPr>
  </w:style>
  <w:style w:type="paragraph" w:styleId="22">
    <w:name w:val="Date"/>
    <w:basedOn w:val="1"/>
    <w:next w:val="1"/>
    <w:link w:val="53"/>
    <w:autoRedefine/>
    <w:unhideWhenUsed/>
    <w:qFormat/>
    <w:uiPriority w:val="99"/>
    <w:pPr>
      <w:ind w:left="100" w:leftChars="2500"/>
    </w:pPr>
  </w:style>
  <w:style w:type="paragraph" w:styleId="23">
    <w:name w:val="Balloon Text"/>
    <w:basedOn w:val="1"/>
    <w:link w:val="54"/>
    <w:autoRedefine/>
    <w:semiHidden/>
    <w:qFormat/>
    <w:uiPriority w:val="99"/>
    <w:rPr>
      <w:sz w:val="18"/>
      <w:szCs w:val="18"/>
    </w:rPr>
  </w:style>
  <w:style w:type="paragraph" w:styleId="24">
    <w:name w:val="header"/>
    <w:basedOn w:val="1"/>
    <w:link w:val="5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unhideWhenUsed/>
    <w:qFormat/>
    <w:uiPriority w:val="39"/>
  </w:style>
  <w:style w:type="paragraph" w:styleId="26">
    <w:name w:val="table of figures"/>
    <w:basedOn w:val="1"/>
    <w:next w:val="1"/>
    <w:autoRedefine/>
    <w:unhideWhenUsed/>
    <w:qFormat/>
    <w:uiPriority w:val="0"/>
    <w:pPr>
      <w:ind w:left="200" w:leftChars="200" w:hanging="200" w:hangingChars="200"/>
    </w:pPr>
    <w:rPr>
      <w:sz w:val="28"/>
    </w:rPr>
  </w:style>
  <w:style w:type="paragraph" w:styleId="27">
    <w:name w:val="toc 2"/>
    <w:basedOn w:val="1"/>
    <w:next w:val="1"/>
    <w:autoRedefine/>
    <w:unhideWhenUsed/>
    <w:qFormat/>
    <w:uiPriority w:val="39"/>
    <w:pPr>
      <w:tabs>
        <w:tab w:val="right" w:leader="dot" w:pos="8296"/>
      </w:tabs>
      <w:ind w:left="420" w:leftChars="200"/>
    </w:pPr>
  </w:style>
  <w:style w:type="paragraph" w:styleId="28">
    <w:name w:val="Normal (Web)"/>
    <w:basedOn w:val="1"/>
    <w:link w:val="65"/>
    <w:autoRedefine/>
    <w:unhideWhenUsed/>
    <w:qFormat/>
    <w:uiPriority w:val="0"/>
    <w:rPr>
      <w:rFonts w:ascii="Calibri" w:hAnsi="Calibri"/>
      <w:kern w:val="0"/>
      <w:sz w:val="24"/>
    </w:rPr>
  </w:style>
  <w:style w:type="paragraph" w:styleId="29">
    <w:name w:val="Title"/>
    <w:basedOn w:val="1"/>
    <w:next w:val="1"/>
    <w:link w:val="57"/>
    <w:autoRedefine/>
    <w:qFormat/>
    <w:uiPriority w:val="0"/>
    <w:pPr>
      <w:autoSpaceDE w:val="0"/>
      <w:autoSpaceDN w:val="0"/>
      <w:spacing w:before="240" w:after="60" w:line="360" w:lineRule="auto"/>
      <w:jc w:val="center"/>
      <w:outlineLvl w:val="0"/>
    </w:pPr>
    <w:rPr>
      <w:rFonts w:ascii="Calibri Light" w:hAnsi="Calibri Light"/>
      <w:b/>
      <w:bCs/>
      <w:sz w:val="32"/>
      <w:szCs w:val="32"/>
      <w:lang w:eastAsia="ko-KR"/>
    </w:rPr>
  </w:style>
  <w:style w:type="paragraph" w:styleId="30">
    <w:name w:val="annotation subject"/>
    <w:basedOn w:val="12"/>
    <w:next w:val="12"/>
    <w:link w:val="58"/>
    <w:autoRedefine/>
    <w:qFormat/>
    <w:uiPriority w:val="99"/>
    <w:rPr>
      <w:b/>
      <w:bCs/>
    </w:rPr>
  </w:style>
  <w:style w:type="paragraph" w:styleId="31">
    <w:name w:val="Body Text First Indent"/>
    <w:basedOn w:val="14"/>
    <w:next w:val="1"/>
    <w:autoRedefine/>
    <w:qFormat/>
    <w:uiPriority w:val="0"/>
    <w:pPr>
      <w:ind w:firstLine="420" w:firstLineChars="100"/>
    </w:pPr>
    <w:rPr>
      <w:rFonts w:ascii="宋体" w:hAnsi="Courier New"/>
      <w:kern w:val="0"/>
      <w:sz w:val="20"/>
      <w:szCs w:val="21"/>
    </w:rPr>
  </w:style>
  <w:style w:type="paragraph" w:styleId="32">
    <w:name w:val="Body Text First Indent 2"/>
    <w:basedOn w:val="18"/>
    <w:link w:val="49"/>
    <w:autoRedefine/>
    <w:qFormat/>
    <w:uiPriority w:val="0"/>
    <w:pPr>
      <w:spacing w:after="0"/>
      <w:ind w:left="0" w:leftChars="0" w:firstLine="420" w:firstLineChars="200"/>
    </w:pPr>
    <w:rPr>
      <w:rFonts w:ascii="仿宋_GB2312" w:eastAsia="仿宋_GB2312"/>
      <w:kern w:val="0"/>
      <w:sz w:val="32"/>
      <w:szCs w:val="20"/>
    </w:rPr>
  </w:style>
  <w:style w:type="table" w:styleId="34">
    <w:name w:val="Table Grid"/>
    <w:basedOn w:val="3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autoRedefine/>
    <w:unhideWhenUsed/>
    <w:qFormat/>
    <w:uiPriority w:val="99"/>
    <w:rPr>
      <w:vertAlign w:val="superscript"/>
    </w:rPr>
  </w:style>
  <w:style w:type="character" w:styleId="37">
    <w:name w:val="Emphasis"/>
    <w:autoRedefine/>
    <w:qFormat/>
    <w:uiPriority w:val="20"/>
    <w:rPr>
      <w:i/>
      <w:iCs/>
    </w:rPr>
  </w:style>
  <w:style w:type="character" w:styleId="38">
    <w:name w:val="Hyperlink"/>
    <w:autoRedefine/>
    <w:unhideWhenUsed/>
    <w:qFormat/>
    <w:uiPriority w:val="99"/>
    <w:rPr>
      <w:color w:val="0000FF"/>
      <w:u w:val="single"/>
    </w:rPr>
  </w:style>
  <w:style w:type="character" w:styleId="39">
    <w:name w:val="annotation reference"/>
    <w:autoRedefine/>
    <w:qFormat/>
    <w:uiPriority w:val="99"/>
    <w:rPr>
      <w:sz w:val="21"/>
      <w:szCs w:val="21"/>
    </w:rPr>
  </w:style>
  <w:style w:type="paragraph" w:customStyle="1" w:styleId="40">
    <w:name w:val="段"/>
    <w:next w:val="1"/>
    <w:autoRedefine/>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character" w:customStyle="1" w:styleId="41">
    <w:name w:val="标题 1 Char"/>
    <w:basedOn w:val="35"/>
    <w:link w:val="2"/>
    <w:autoRedefine/>
    <w:qFormat/>
    <w:uiPriority w:val="0"/>
    <w:rPr>
      <w:rFonts w:ascii="Times New Roman" w:hAnsi="Times New Roman" w:eastAsia="宋体" w:cs="Times New Roman"/>
      <w:b/>
      <w:kern w:val="44"/>
      <w:sz w:val="32"/>
      <w:szCs w:val="24"/>
    </w:rPr>
  </w:style>
  <w:style w:type="character" w:customStyle="1" w:styleId="42">
    <w:name w:val="标题 2 Char"/>
    <w:basedOn w:val="35"/>
    <w:autoRedefine/>
    <w:qFormat/>
    <w:uiPriority w:val="0"/>
    <w:rPr>
      <w:rFonts w:asciiTheme="majorHAnsi" w:hAnsiTheme="majorHAnsi" w:eastAsiaTheme="majorEastAsia" w:cstheme="majorBidi"/>
      <w:b/>
      <w:bCs/>
      <w:sz w:val="32"/>
      <w:szCs w:val="32"/>
    </w:rPr>
  </w:style>
  <w:style w:type="character" w:customStyle="1" w:styleId="43">
    <w:name w:val="标题 3 Char"/>
    <w:basedOn w:val="35"/>
    <w:link w:val="4"/>
    <w:autoRedefine/>
    <w:qFormat/>
    <w:uiPriority w:val="0"/>
    <w:rPr>
      <w:rFonts w:ascii="Times New Roman" w:hAnsi="Times New Roman" w:eastAsia="黑体" w:cs="宋体"/>
      <w:b/>
      <w:snapToGrid w:val="0"/>
      <w:kern w:val="0"/>
      <w:sz w:val="30"/>
      <w:szCs w:val="28"/>
    </w:rPr>
  </w:style>
  <w:style w:type="character" w:customStyle="1" w:styleId="44">
    <w:name w:val="标题 4 Char"/>
    <w:basedOn w:val="35"/>
    <w:link w:val="5"/>
    <w:autoRedefine/>
    <w:qFormat/>
    <w:uiPriority w:val="99"/>
    <w:rPr>
      <w:rFonts w:ascii="Arial" w:hAnsi="Arial" w:eastAsia="黑体" w:cs="Times New Roman"/>
      <w:b/>
      <w:bCs/>
      <w:sz w:val="28"/>
      <w:szCs w:val="28"/>
    </w:rPr>
  </w:style>
  <w:style w:type="character" w:customStyle="1" w:styleId="45">
    <w:name w:val="标题 5 Char"/>
    <w:basedOn w:val="35"/>
    <w:link w:val="6"/>
    <w:autoRedefine/>
    <w:qFormat/>
    <w:uiPriority w:val="0"/>
    <w:rPr>
      <w:rFonts w:ascii="Times New Roman" w:hAnsi="Times New Roman" w:eastAsia="宋体" w:cs="Times New Roman"/>
      <w:b/>
      <w:bCs/>
      <w:sz w:val="28"/>
      <w:szCs w:val="28"/>
    </w:rPr>
  </w:style>
  <w:style w:type="character" w:customStyle="1" w:styleId="46">
    <w:name w:val="标题 8 Char"/>
    <w:basedOn w:val="35"/>
    <w:autoRedefine/>
    <w:qFormat/>
    <w:uiPriority w:val="0"/>
    <w:rPr>
      <w:rFonts w:asciiTheme="majorHAnsi" w:hAnsiTheme="majorHAnsi" w:eastAsiaTheme="majorEastAsia" w:cstheme="majorBidi"/>
      <w:sz w:val="24"/>
      <w:szCs w:val="24"/>
    </w:rPr>
  </w:style>
  <w:style w:type="character" w:customStyle="1" w:styleId="47">
    <w:name w:val="正文文本 Char"/>
    <w:basedOn w:val="35"/>
    <w:autoRedefine/>
    <w:qFormat/>
    <w:uiPriority w:val="0"/>
    <w:rPr>
      <w:rFonts w:ascii="Times New Roman" w:hAnsi="Times New Roman" w:eastAsia="宋体" w:cs="Times New Roman"/>
      <w:szCs w:val="24"/>
    </w:rPr>
  </w:style>
  <w:style w:type="character" w:customStyle="1" w:styleId="48">
    <w:name w:val="正文文本缩进 Char"/>
    <w:basedOn w:val="35"/>
    <w:link w:val="18"/>
    <w:autoRedefine/>
    <w:qFormat/>
    <w:uiPriority w:val="0"/>
    <w:rPr>
      <w:rFonts w:ascii="Times New Roman" w:hAnsi="Times New Roman" w:eastAsia="宋体" w:cs="Times New Roman"/>
      <w:szCs w:val="24"/>
    </w:rPr>
  </w:style>
  <w:style w:type="character" w:customStyle="1" w:styleId="49">
    <w:name w:val="正文首行缩进 2 Char"/>
    <w:basedOn w:val="48"/>
    <w:link w:val="32"/>
    <w:autoRedefine/>
    <w:qFormat/>
    <w:uiPriority w:val="0"/>
    <w:rPr>
      <w:rFonts w:ascii="仿宋_GB2312" w:hAnsi="Times New Roman" w:eastAsia="仿宋_GB2312" w:cs="Times New Roman"/>
      <w:kern w:val="0"/>
      <w:sz w:val="32"/>
      <w:szCs w:val="20"/>
    </w:rPr>
  </w:style>
  <w:style w:type="character" w:customStyle="1" w:styleId="50">
    <w:name w:val="批注文字 Char"/>
    <w:basedOn w:val="35"/>
    <w:autoRedefine/>
    <w:qFormat/>
    <w:uiPriority w:val="99"/>
    <w:rPr>
      <w:rFonts w:ascii="Times New Roman" w:hAnsi="Times New Roman" w:eastAsia="宋体" w:cs="Times New Roman"/>
      <w:szCs w:val="24"/>
    </w:rPr>
  </w:style>
  <w:style w:type="character" w:customStyle="1" w:styleId="51">
    <w:name w:val="正文文本 3 Char"/>
    <w:basedOn w:val="35"/>
    <w:link w:val="13"/>
    <w:autoRedefine/>
    <w:qFormat/>
    <w:uiPriority w:val="99"/>
    <w:rPr>
      <w:rFonts w:ascii="Times New Roman" w:hAnsi="Times New Roman" w:eastAsia="宋体" w:cs="Times New Roman"/>
      <w:sz w:val="16"/>
      <w:szCs w:val="16"/>
    </w:rPr>
  </w:style>
  <w:style w:type="character" w:customStyle="1" w:styleId="52">
    <w:name w:val="纯文本 Char"/>
    <w:basedOn w:val="35"/>
    <w:autoRedefine/>
    <w:qFormat/>
    <w:uiPriority w:val="99"/>
    <w:rPr>
      <w:rFonts w:ascii="宋体" w:hAnsi="Courier New" w:eastAsia="宋体" w:cs="Courier New"/>
      <w:szCs w:val="21"/>
    </w:rPr>
  </w:style>
  <w:style w:type="character" w:customStyle="1" w:styleId="53">
    <w:name w:val="日期 Char"/>
    <w:basedOn w:val="35"/>
    <w:link w:val="22"/>
    <w:autoRedefine/>
    <w:qFormat/>
    <w:uiPriority w:val="99"/>
    <w:rPr>
      <w:rFonts w:ascii="Times New Roman" w:hAnsi="Times New Roman" w:eastAsia="宋体" w:cs="Times New Roman"/>
      <w:szCs w:val="24"/>
    </w:rPr>
  </w:style>
  <w:style w:type="character" w:customStyle="1" w:styleId="54">
    <w:name w:val="批注框文本 Char"/>
    <w:basedOn w:val="35"/>
    <w:link w:val="23"/>
    <w:autoRedefine/>
    <w:semiHidden/>
    <w:qFormat/>
    <w:uiPriority w:val="99"/>
    <w:rPr>
      <w:rFonts w:ascii="Times New Roman" w:hAnsi="Times New Roman" w:eastAsia="宋体" w:cs="Times New Roman"/>
      <w:sz w:val="18"/>
      <w:szCs w:val="18"/>
    </w:rPr>
  </w:style>
  <w:style w:type="character" w:customStyle="1" w:styleId="55">
    <w:name w:val="页脚 Char"/>
    <w:basedOn w:val="35"/>
    <w:link w:val="16"/>
    <w:autoRedefine/>
    <w:qFormat/>
    <w:uiPriority w:val="99"/>
    <w:rPr>
      <w:rFonts w:ascii="Times New Roman" w:hAnsi="Times New Roman" w:eastAsia="宋体" w:cs="Times New Roman"/>
      <w:kern w:val="0"/>
      <w:sz w:val="18"/>
      <w:szCs w:val="18"/>
    </w:rPr>
  </w:style>
  <w:style w:type="character" w:customStyle="1" w:styleId="56">
    <w:name w:val="页眉 Char"/>
    <w:basedOn w:val="35"/>
    <w:link w:val="24"/>
    <w:autoRedefine/>
    <w:qFormat/>
    <w:uiPriority w:val="99"/>
    <w:rPr>
      <w:rFonts w:ascii="Times New Roman" w:hAnsi="Times New Roman" w:eastAsia="宋体" w:cs="Times New Roman"/>
      <w:kern w:val="0"/>
      <w:sz w:val="18"/>
      <w:szCs w:val="18"/>
    </w:rPr>
  </w:style>
  <w:style w:type="character" w:customStyle="1" w:styleId="57">
    <w:name w:val="标题 Char"/>
    <w:basedOn w:val="35"/>
    <w:link w:val="29"/>
    <w:autoRedefine/>
    <w:qFormat/>
    <w:uiPriority w:val="0"/>
    <w:rPr>
      <w:rFonts w:ascii="Calibri Light" w:hAnsi="Calibri Light" w:eastAsia="宋体" w:cs="Times New Roman"/>
      <w:b/>
      <w:bCs/>
      <w:sz w:val="32"/>
      <w:szCs w:val="32"/>
      <w:lang w:eastAsia="ko-KR"/>
    </w:rPr>
  </w:style>
  <w:style w:type="character" w:customStyle="1" w:styleId="58">
    <w:name w:val="批注主题 Char"/>
    <w:basedOn w:val="50"/>
    <w:link w:val="30"/>
    <w:autoRedefine/>
    <w:qFormat/>
    <w:uiPriority w:val="99"/>
    <w:rPr>
      <w:rFonts w:ascii="Times New Roman" w:hAnsi="Times New Roman" w:eastAsia="宋体" w:cs="Times New Roman"/>
      <w:b/>
      <w:bCs/>
      <w:szCs w:val="24"/>
    </w:rPr>
  </w:style>
  <w:style w:type="character" w:customStyle="1" w:styleId="59">
    <w:name w:val="标题 2 Char1"/>
    <w:link w:val="3"/>
    <w:autoRedefine/>
    <w:qFormat/>
    <w:uiPriority w:val="0"/>
    <w:rPr>
      <w:rFonts w:ascii="Cambria" w:hAnsi="Cambria" w:eastAsia="宋体" w:cs="Times New Roman"/>
      <w:b/>
      <w:bCs/>
      <w:sz w:val="32"/>
      <w:szCs w:val="32"/>
    </w:rPr>
  </w:style>
  <w:style w:type="character" w:customStyle="1" w:styleId="60">
    <w:name w:val="正文缩进 Char"/>
    <w:link w:val="7"/>
    <w:autoRedefine/>
    <w:qFormat/>
    <w:locked/>
    <w:uiPriority w:val="0"/>
    <w:rPr>
      <w:rFonts w:ascii="Times New Roman" w:hAnsi="Times New Roman" w:eastAsia="宋体" w:cs="Times New Roman"/>
      <w:szCs w:val="20"/>
    </w:rPr>
  </w:style>
  <w:style w:type="character" w:customStyle="1" w:styleId="61">
    <w:name w:val="标题 8 Char1"/>
    <w:link w:val="8"/>
    <w:autoRedefine/>
    <w:qFormat/>
    <w:uiPriority w:val="9"/>
    <w:rPr>
      <w:rFonts w:ascii="等线 Light" w:hAnsi="等线 Light" w:eastAsia="等线 Light" w:cs="Times New Roman"/>
      <w:sz w:val="24"/>
      <w:szCs w:val="24"/>
    </w:rPr>
  </w:style>
  <w:style w:type="character" w:customStyle="1" w:styleId="62">
    <w:name w:val="批注文字 Char1"/>
    <w:link w:val="12"/>
    <w:autoRedefine/>
    <w:qFormat/>
    <w:uiPriority w:val="99"/>
    <w:rPr>
      <w:rFonts w:ascii="Times New Roman" w:hAnsi="Times New Roman" w:eastAsia="宋体" w:cs="Times New Roman"/>
      <w:szCs w:val="24"/>
    </w:rPr>
  </w:style>
  <w:style w:type="character" w:customStyle="1" w:styleId="63">
    <w:name w:val="正文文本 Char1"/>
    <w:link w:val="14"/>
    <w:autoRedefine/>
    <w:qFormat/>
    <w:uiPriority w:val="0"/>
    <w:rPr>
      <w:rFonts w:ascii="Times New Roman" w:hAnsi="Times New Roman" w:eastAsia="宋体" w:cs="Times New Roman"/>
      <w:szCs w:val="24"/>
    </w:rPr>
  </w:style>
  <w:style w:type="character" w:customStyle="1" w:styleId="64">
    <w:name w:val="纯文本 Char1"/>
    <w:link w:val="21"/>
    <w:autoRedefine/>
    <w:qFormat/>
    <w:uiPriority w:val="0"/>
    <w:rPr>
      <w:rFonts w:ascii="宋体" w:hAnsi="Courier New" w:eastAsia="宋体" w:cs="Times New Roman"/>
      <w:kern w:val="0"/>
      <w:sz w:val="20"/>
      <w:szCs w:val="21"/>
    </w:rPr>
  </w:style>
  <w:style w:type="character" w:customStyle="1" w:styleId="65">
    <w:name w:val="普通(网站) Char1"/>
    <w:link w:val="28"/>
    <w:autoRedefine/>
    <w:qFormat/>
    <w:uiPriority w:val="0"/>
    <w:rPr>
      <w:rFonts w:ascii="Calibri" w:hAnsi="Calibri" w:eastAsia="宋体" w:cs="Times New Roman"/>
      <w:kern w:val="0"/>
      <w:sz w:val="24"/>
      <w:szCs w:val="24"/>
    </w:rPr>
  </w:style>
  <w:style w:type="character" w:customStyle="1" w:styleId="66">
    <w:name w:val="正文文本 字符"/>
    <w:autoRedefine/>
    <w:qFormat/>
    <w:uiPriority w:val="0"/>
    <w:rPr>
      <w:rFonts w:ascii="Times New Roman" w:hAnsi="Times New Roman"/>
      <w:kern w:val="2"/>
      <w:sz w:val="21"/>
      <w:szCs w:val="24"/>
    </w:rPr>
  </w:style>
  <w:style w:type="character" w:customStyle="1" w:styleId="67">
    <w:name w:val="页眉 字符"/>
    <w:autoRedefine/>
    <w:qFormat/>
    <w:uiPriority w:val="0"/>
    <w:rPr>
      <w:sz w:val="18"/>
      <w:szCs w:val="18"/>
    </w:rPr>
  </w:style>
  <w:style w:type="character" w:customStyle="1" w:styleId="68">
    <w:name w:val="纯文本 字符1"/>
    <w:autoRedefine/>
    <w:qFormat/>
    <w:uiPriority w:val="0"/>
    <w:rPr>
      <w:rFonts w:ascii="宋体" w:hAnsi="Courier New"/>
    </w:rPr>
  </w:style>
  <w:style w:type="character" w:customStyle="1" w:styleId="69">
    <w:name w:val="批注主题 字符"/>
    <w:autoRedefine/>
    <w:qFormat/>
    <w:uiPriority w:val="0"/>
    <w:rPr>
      <w:rFonts w:ascii="Times New Roman" w:hAnsi="Times New Roman"/>
      <w:b/>
      <w:bCs/>
      <w:kern w:val="2"/>
      <w:sz w:val="21"/>
      <w:szCs w:val="24"/>
    </w:rPr>
  </w:style>
  <w:style w:type="character" w:customStyle="1" w:styleId="70">
    <w:name w:val="纯文本 字符2"/>
    <w:autoRedefine/>
    <w:qFormat/>
    <w:uiPriority w:val="0"/>
    <w:rPr>
      <w:rFonts w:ascii="宋体" w:hAnsi="Courier New" w:eastAsia="宋体" w:cs="Courier New"/>
      <w:szCs w:val="21"/>
    </w:rPr>
  </w:style>
  <w:style w:type="character" w:customStyle="1" w:styleId="71">
    <w:name w:val="批注文字 字符"/>
    <w:autoRedefine/>
    <w:qFormat/>
    <w:uiPriority w:val="0"/>
    <w:rPr>
      <w:rFonts w:ascii="Times New Roman" w:hAnsi="Times New Roman"/>
      <w:kern w:val="2"/>
      <w:sz w:val="21"/>
      <w:szCs w:val="24"/>
    </w:rPr>
  </w:style>
  <w:style w:type="character" w:customStyle="1" w:styleId="72">
    <w:name w:val="纯文本 字符"/>
    <w:autoRedefine/>
    <w:qFormat/>
    <w:uiPriority w:val="0"/>
    <w:rPr>
      <w:rFonts w:ascii="宋体" w:hAnsi="Courier New" w:eastAsia="宋体" w:cs="Courier New"/>
      <w:szCs w:val="21"/>
    </w:rPr>
  </w:style>
  <w:style w:type="character" w:customStyle="1" w:styleId="73">
    <w:name w:val="textcontents"/>
    <w:basedOn w:val="35"/>
    <w:autoRedefine/>
    <w:qFormat/>
    <w:uiPriority w:val="0"/>
  </w:style>
  <w:style w:type="character" w:customStyle="1" w:styleId="74">
    <w:name w:val="Char Char2"/>
    <w:autoRedefine/>
    <w:qFormat/>
    <w:uiPriority w:val="0"/>
    <w:rPr>
      <w:rFonts w:ascii="Times New Roman" w:hAnsi="Times New Roman"/>
      <w:kern w:val="2"/>
      <w:sz w:val="21"/>
      <w:szCs w:val="24"/>
    </w:rPr>
  </w:style>
  <w:style w:type="character" w:customStyle="1" w:styleId="75">
    <w:name w:val="正文文本缩进 字符"/>
    <w:autoRedefine/>
    <w:qFormat/>
    <w:uiPriority w:val="0"/>
    <w:rPr>
      <w:rFonts w:ascii="仿宋_GB2312" w:hAnsi="Times New Roman" w:eastAsia="仿宋_GB2312" w:cs="Times New Roman"/>
      <w:sz w:val="32"/>
      <w:szCs w:val="20"/>
    </w:rPr>
  </w:style>
  <w:style w:type="character" w:customStyle="1" w:styleId="76">
    <w:name w:val="apple-style-span"/>
    <w:basedOn w:val="35"/>
    <w:autoRedefine/>
    <w:qFormat/>
    <w:uiPriority w:val="0"/>
  </w:style>
  <w:style w:type="character" w:customStyle="1" w:styleId="77">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8">
    <w:name w:val="标题 2 字符"/>
    <w:autoRedefine/>
    <w:qFormat/>
    <w:uiPriority w:val="0"/>
    <w:rPr>
      <w:rFonts w:ascii="Cambria" w:hAnsi="Cambria" w:eastAsia="宋体" w:cs="Times New Roman"/>
      <w:b/>
      <w:bCs/>
      <w:kern w:val="2"/>
      <w:sz w:val="32"/>
      <w:szCs w:val="32"/>
    </w:rPr>
  </w:style>
  <w:style w:type="character" w:customStyle="1" w:styleId="79">
    <w:name w:val="批注文字 字符1"/>
    <w:autoRedefine/>
    <w:qFormat/>
    <w:uiPriority w:val="0"/>
    <w:rPr>
      <w:rFonts w:ascii="Times New Roman" w:hAnsi="Times New Roman"/>
      <w:kern w:val="2"/>
      <w:sz w:val="21"/>
      <w:szCs w:val="24"/>
    </w:rPr>
  </w:style>
  <w:style w:type="character" w:customStyle="1" w:styleId="80">
    <w:name w:val="页脚 字符"/>
    <w:autoRedefine/>
    <w:qFormat/>
    <w:uiPriority w:val="0"/>
    <w:rPr>
      <w:sz w:val="18"/>
      <w:szCs w:val="18"/>
    </w:rPr>
  </w:style>
  <w:style w:type="paragraph" w:customStyle="1" w:styleId="81">
    <w:name w:val="标题B"/>
    <w:autoRedefine/>
    <w:qFormat/>
    <w:uiPriority w:val="0"/>
    <w:pPr>
      <w:jc w:val="center"/>
    </w:pPr>
    <w:rPr>
      <w:rFonts w:ascii="黑体" w:hAnsi="黑体" w:eastAsia="黑体" w:cs="黑体"/>
      <w:kern w:val="2"/>
      <w:sz w:val="30"/>
      <w:szCs w:val="30"/>
      <w:lang w:val="en-US" w:eastAsia="zh-CN" w:bidi="ar-SA"/>
    </w:rPr>
  </w:style>
  <w:style w:type="paragraph" w:customStyle="1" w:styleId="82">
    <w:name w:val="Char Char Char Char"/>
    <w:basedOn w:val="1"/>
    <w:autoRedefine/>
    <w:qFormat/>
    <w:uiPriority w:val="0"/>
  </w:style>
  <w:style w:type="paragraph" w:customStyle="1" w:styleId="83">
    <w:name w:val="列出段落1"/>
    <w:basedOn w:val="1"/>
    <w:autoRedefine/>
    <w:qFormat/>
    <w:uiPriority w:val="34"/>
    <w:pPr>
      <w:ind w:firstLine="420" w:firstLineChars="200"/>
    </w:p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列出段落11"/>
    <w:basedOn w:val="1"/>
    <w:autoRedefine/>
    <w:qFormat/>
    <w:uiPriority w:val="0"/>
    <w:pPr>
      <w:autoSpaceDE w:val="0"/>
      <w:autoSpaceDN w:val="0"/>
      <w:spacing w:line="360" w:lineRule="auto"/>
      <w:ind w:firstLine="420" w:firstLineChars="200"/>
    </w:pPr>
    <w:rPr>
      <w:rFonts w:ascii="Calibri" w:hAnsi="Calibri"/>
      <w:szCs w:val="22"/>
    </w:rPr>
  </w:style>
  <w:style w:type="paragraph" w:customStyle="1" w:styleId="86">
    <w:name w:val="List Paragraph1"/>
    <w:basedOn w:val="1"/>
    <w:autoRedefine/>
    <w:qFormat/>
    <w:uiPriority w:val="34"/>
    <w:pPr>
      <w:ind w:firstLine="420" w:firstLineChars="200"/>
    </w:pPr>
    <w:rPr>
      <w:rFonts w:ascii="Calibri" w:hAnsi="Calibri"/>
      <w:szCs w:val="22"/>
    </w:rPr>
  </w:style>
  <w:style w:type="paragraph" w:customStyle="1" w:styleId="87">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88">
    <w:name w:val="List Paragraph"/>
    <w:basedOn w:val="1"/>
    <w:link w:val="89"/>
    <w:autoRedefine/>
    <w:qFormat/>
    <w:uiPriority w:val="0"/>
    <w:pPr>
      <w:ind w:firstLine="420" w:firstLineChars="200"/>
    </w:pPr>
  </w:style>
  <w:style w:type="character" w:customStyle="1" w:styleId="89">
    <w:name w:val="列出段落 Char"/>
    <w:link w:val="88"/>
    <w:autoRedefine/>
    <w:qFormat/>
    <w:uiPriority w:val="0"/>
    <w:rPr>
      <w:rFonts w:ascii="Times New Roman" w:hAnsi="Times New Roman" w:eastAsia="宋体" w:cs="Times New Roman"/>
      <w:szCs w:val="24"/>
    </w:rPr>
  </w:style>
  <w:style w:type="paragraph" w:customStyle="1" w:styleId="90">
    <w:name w:val="列表段落1"/>
    <w:basedOn w:val="1"/>
    <w:autoRedefine/>
    <w:qFormat/>
    <w:uiPriority w:val="0"/>
    <w:pPr>
      <w:ind w:firstLine="420" w:firstLineChars="200"/>
    </w:pPr>
  </w:style>
  <w:style w:type="paragraph" w:customStyle="1" w:styleId="91">
    <w:name w:val="默认段落字体 Para Char Char Char Char Char Char Char Char Char1 Char Char Char Char"/>
    <w:basedOn w:val="1"/>
    <w:autoRedefine/>
    <w:qFormat/>
    <w:uiPriority w:val="0"/>
    <w:rPr>
      <w:rFonts w:ascii="Tahoma" w:hAnsi="Tahoma"/>
      <w:sz w:val="24"/>
      <w:szCs w:val="20"/>
    </w:rPr>
  </w:style>
  <w:style w:type="paragraph" w:customStyle="1" w:styleId="92">
    <w:name w:val="明显引用1"/>
    <w:basedOn w:val="1"/>
    <w:next w:val="1"/>
    <w:autoRedefine/>
    <w:qFormat/>
    <w:uiPriority w:val="0"/>
    <w:pPr>
      <w:wordWrap w:val="0"/>
      <w:spacing w:before="360" w:after="360"/>
      <w:ind w:left="950" w:right="950"/>
      <w:jc w:val="center"/>
    </w:pPr>
    <w:rPr>
      <w:i/>
      <w:iCs/>
    </w:rPr>
  </w:style>
  <w:style w:type="paragraph" w:customStyle="1" w:styleId="93">
    <w:name w:val="正文首行缩进两字"/>
    <w:link w:val="94"/>
    <w:autoRedefine/>
    <w:qFormat/>
    <w:uiPriority w:val="0"/>
    <w:pPr>
      <w:spacing w:line="360" w:lineRule="auto"/>
      <w:ind w:right="210" w:rightChars="100" w:firstLine="424" w:firstLineChars="202"/>
    </w:pPr>
    <w:rPr>
      <w:rFonts w:ascii="宋体" w:hAnsi="宋体" w:eastAsia="宋体" w:cs="Times New Roman"/>
      <w:color w:val="333333"/>
      <w:sz w:val="21"/>
      <w:szCs w:val="21"/>
      <w:lang w:val="en-US" w:eastAsia="zh-CN" w:bidi="ar-SA"/>
    </w:rPr>
  </w:style>
  <w:style w:type="character" w:customStyle="1" w:styleId="94">
    <w:name w:val="正文首行缩进两字 Char"/>
    <w:link w:val="93"/>
    <w:autoRedefine/>
    <w:qFormat/>
    <w:locked/>
    <w:uiPriority w:val="0"/>
    <w:rPr>
      <w:rFonts w:ascii="宋体" w:hAnsi="宋体" w:eastAsia="宋体" w:cs="Times New Roman"/>
      <w:color w:val="333333"/>
      <w:kern w:val="0"/>
      <w:szCs w:val="21"/>
    </w:rPr>
  </w:style>
  <w:style w:type="table" w:customStyle="1" w:styleId="95">
    <w:name w:val="网格型1"/>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
    <w:name w:val="普通(网站) Char"/>
    <w:basedOn w:val="1"/>
    <w:autoRedefine/>
    <w:qFormat/>
    <w:uiPriority w:val="0"/>
    <w:pPr>
      <w:widowControl/>
      <w:spacing w:beforeAutospacing="1" w:afterAutospacing="1"/>
      <w:jc w:val="left"/>
    </w:pPr>
    <w:rPr>
      <w:rFonts w:hint="eastAsia" w:ascii="宋体" w:hAnsi="宋体"/>
      <w:kern w:val="0"/>
      <w:sz w:val="24"/>
    </w:rPr>
  </w:style>
  <w:style w:type="paragraph" w:customStyle="1" w:styleId="97">
    <w:name w:val="Plain Text1"/>
    <w:basedOn w:val="1"/>
    <w:autoRedefine/>
    <w:qFormat/>
    <w:uiPriority w:val="0"/>
    <w:rPr>
      <w:rFonts w:ascii="宋体" w:hAnsi="Courier New" w:cs="Courier New"/>
      <w:szCs w:val="21"/>
    </w:rPr>
  </w:style>
  <w:style w:type="character" w:customStyle="1" w:styleId="98">
    <w:name w:val="列表段落 字符1"/>
    <w:link w:val="99"/>
    <w:autoRedefine/>
    <w:qFormat/>
    <w:uiPriority w:val="34"/>
    <w:rPr>
      <w:rFonts w:ascii="Calibri" w:hAnsi="Calibri"/>
      <w:lang w:val="zh-CN"/>
    </w:rPr>
  </w:style>
  <w:style w:type="paragraph" w:customStyle="1" w:styleId="99">
    <w:name w:val="列表段落11"/>
    <w:basedOn w:val="1"/>
    <w:link w:val="98"/>
    <w:autoRedefine/>
    <w:qFormat/>
    <w:uiPriority w:val="34"/>
    <w:pPr>
      <w:ind w:firstLine="420" w:firstLineChars="200"/>
    </w:pPr>
    <w:rPr>
      <w:rFonts w:ascii="Calibri" w:hAnsi="Calibri" w:eastAsiaTheme="minorEastAsia" w:cstheme="minorBidi"/>
      <w:szCs w:val="22"/>
      <w:lang w:val="zh-CN"/>
    </w:rPr>
  </w:style>
  <w:style w:type="character" w:customStyle="1" w:styleId="100">
    <w:name w:val="正文文本首行缩进 2 字符"/>
    <w:basedOn w:val="48"/>
    <w:autoRedefine/>
    <w:qFormat/>
    <w:uiPriority w:val="0"/>
    <w:rPr>
      <w:rFonts w:ascii="仿宋_GB2312" w:hAnsi="Times New Roman" w:eastAsia="仿宋_GB2312" w:cs="Times New Roman"/>
      <w:sz w:val="32"/>
      <w:szCs w:val="20"/>
    </w:rPr>
  </w:style>
  <w:style w:type="character" w:customStyle="1" w:styleId="101">
    <w:name w:val="普通(网站) 字符1"/>
    <w:autoRedefine/>
    <w:qFormat/>
    <w:uiPriority w:val="0"/>
    <w:rPr>
      <w:rFonts w:ascii="宋体" w:hAnsi="宋体" w:eastAsia="宋体" w:cs="Times New Roman"/>
      <w:color w:val="000000"/>
      <w:kern w:val="0"/>
      <w:sz w:val="24"/>
      <w:szCs w:val="24"/>
      <w:lang w:val="zh-CN" w:eastAsia="zh-CN"/>
    </w:rPr>
  </w:style>
  <w:style w:type="character" w:customStyle="1" w:styleId="102">
    <w:name w:val="标题 Char1"/>
    <w:basedOn w:val="35"/>
    <w:autoRedefine/>
    <w:qFormat/>
    <w:uiPriority w:val="10"/>
    <w:rPr>
      <w:rFonts w:asciiTheme="majorHAnsi" w:hAnsiTheme="majorHAnsi" w:cstheme="majorBidi"/>
      <w:b/>
      <w:bCs/>
      <w:kern w:val="2"/>
      <w:sz w:val="32"/>
      <w:szCs w:val="32"/>
    </w:rPr>
  </w:style>
  <w:style w:type="character" w:customStyle="1" w:styleId="103">
    <w:name w:val="标题 字符"/>
    <w:basedOn w:val="35"/>
    <w:autoRedefine/>
    <w:qFormat/>
    <w:uiPriority w:val="0"/>
    <w:rPr>
      <w:rFonts w:ascii="Calibri Light" w:hAnsi="Calibri Light" w:eastAsia="宋体" w:cs="Times New Roman"/>
      <w:b/>
      <w:bCs/>
      <w:kern w:val="2"/>
      <w:sz w:val="32"/>
      <w:szCs w:val="32"/>
    </w:rPr>
  </w:style>
  <w:style w:type="paragraph" w:customStyle="1" w:styleId="104">
    <w:name w:val="纯文本2"/>
    <w:basedOn w:val="1"/>
    <w:autoRedefine/>
    <w:qFormat/>
    <w:uiPriority w:val="0"/>
    <w:rPr>
      <w:rFonts w:ascii="宋体" w:hAnsi="Courier New"/>
      <w:kern w:val="0"/>
      <w:sz w:val="20"/>
      <w:szCs w:val="21"/>
    </w:rPr>
  </w:style>
  <w:style w:type="character" w:customStyle="1" w:styleId="105">
    <w:name w:val="纯文本 Char2"/>
    <w:autoRedefine/>
    <w:qFormat/>
    <w:uiPriority w:val="0"/>
    <w:rPr>
      <w:rFonts w:ascii="宋体" w:hAnsi="Courier New" w:eastAsia="宋体" w:cs="Times New Roman"/>
      <w:kern w:val="2"/>
      <w:sz w:val="21"/>
      <w:lang w:val="en-US" w:eastAsia="zh-CN" w:bidi="ar-SA"/>
    </w:rPr>
  </w:style>
  <w:style w:type="character" w:customStyle="1" w:styleId="106">
    <w:name w:val="font01"/>
    <w:autoRedefine/>
    <w:qFormat/>
    <w:uiPriority w:val="0"/>
    <w:rPr>
      <w:rFonts w:hint="eastAsia" w:ascii="宋体" w:hAnsi="宋体" w:eastAsia="宋体" w:cs="宋体"/>
      <w:color w:val="000000"/>
      <w:sz w:val="22"/>
      <w:szCs w:val="22"/>
      <w:u w:val="none"/>
    </w:rPr>
  </w:style>
  <w:style w:type="character" w:customStyle="1" w:styleId="107">
    <w:name w:val="font71"/>
    <w:autoRedefine/>
    <w:qFormat/>
    <w:uiPriority w:val="0"/>
    <w:rPr>
      <w:rFonts w:hint="eastAsia" w:ascii="宋体" w:hAnsi="宋体" w:eastAsia="宋体" w:cs="宋体"/>
      <w:color w:val="333333"/>
      <w:sz w:val="22"/>
      <w:szCs w:val="22"/>
      <w:u w:val="none"/>
    </w:rPr>
  </w:style>
  <w:style w:type="character" w:customStyle="1" w:styleId="108">
    <w:name w:val="font51"/>
    <w:autoRedefine/>
    <w:qFormat/>
    <w:uiPriority w:val="0"/>
    <w:rPr>
      <w:rFonts w:hint="eastAsia" w:ascii="宋体" w:hAnsi="宋体" w:eastAsia="宋体" w:cs="宋体"/>
      <w:color w:val="000000"/>
      <w:sz w:val="22"/>
      <w:szCs w:val="22"/>
      <w:u w:val="none"/>
    </w:rPr>
  </w:style>
  <w:style w:type="character" w:customStyle="1" w:styleId="109">
    <w:name w:val="font101"/>
    <w:autoRedefine/>
    <w:qFormat/>
    <w:uiPriority w:val="0"/>
    <w:rPr>
      <w:rFonts w:hint="default" w:ascii="Arial" w:hAnsi="Arial" w:cs="Arial"/>
      <w:color w:val="000000"/>
      <w:sz w:val="22"/>
      <w:szCs w:val="22"/>
      <w:u w:val="none"/>
    </w:rPr>
  </w:style>
  <w:style w:type="character" w:customStyle="1" w:styleId="110">
    <w:name w:val="font141"/>
    <w:autoRedefine/>
    <w:qFormat/>
    <w:uiPriority w:val="0"/>
    <w:rPr>
      <w:rFonts w:hint="eastAsia" w:ascii="宋体" w:hAnsi="宋体" w:eastAsia="宋体" w:cs="宋体"/>
      <w:color w:val="000000"/>
      <w:sz w:val="22"/>
      <w:szCs w:val="22"/>
      <w:u w:val="none"/>
    </w:rPr>
  </w:style>
  <w:style w:type="character" w:customStyle="1" w:styleId="111">
    <w:name w:val="16"/>
    <w:basedOn w:val="35"/>
    <w:autoRedefine/>
    <w:qFormat/>
    <w:uiPriority w:val="0"/>
    <w:rPr>
      <w:rFonts w:hint="eastAsia" w:ascii="宋体" w:hAnsi="宋体" w:eastAsia="宋体"/>
      <w:color w:val="000000"/>
      <w:sz w:val="21"/>
      <w:szCs w:val="21"/>
    </w:rPr>
  </w:style>
  <w:style w:type="character" w:customStyle="1" w:styleId="112">
    <w:name w:val="15"/>
    <w:basedOn w:val="35"/>
    <w:autoRedefine/>
    <w:qFormat/>
    <w:uiPriority w:val="0"/>
    <w:rPr>
      <w:rFonts w:hint="eastAsia" w:ascii="MS Gothic" w:hAnsi="MS Gothic" w:eastAsia="MS Gothic"/>
      <w:color w:val="000000"/>
      <w:sz w:val="21"/>
      <w:szCs w:val="21"/>
    </w:rPr>
  </w:style>
  <w:style w:type="paragraph" w:customStyle="1" w:styleId="113">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4">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15">
    <w:name w:val="highlight"/>
    <w:basedOn w:val="35"/>
    <w:autoRedefine/>
    <w:qFormat/>
    <w:uiPriority w:val="0"/>
  </w:style>
  <w:style w:type="paragraph" w:customStyle="1" w:styleId="116">
    <w:name w:val="_Style 109"/>
    <w:basedOn w:val="18"/>
    <w:next w:val="32"/>
    <w:link w:val="117"/>
    <w:autoRedefine/>
    <w:qFormat/>
    <w:uiPriority w:val="0"/>
    <w:pPr>
      <w:spacing w:after="0"/>
      <w:ind w:left="0" w:leftChars="0" w:firstLine="420" w:firstLineChars="200"/>
    </w:pPr>
    <w:rPr>
      <w:rFonts w:ascii="仿宋_GB2312" w:eastAsia="仿宋_GB2312"/>
      <w:kern w:val="0"/>
      <w:sz w:val="32"/>
      <w:szCs w:val="20"/>
    </w:rPr>
  </w:style>
  <w:style w:type="character" w:customStyle="1" w:styleId="117">
    <w:name w:val="正文文本首行缩进 2 字符1"/>
    <w:link w:val="116"/>
    <w:autoRedefine/>
    <w:qFormat/>
    <w:uiPriority w:val="0"/>
    <w:rPr>
      <w:rFonts w:ascii="仿宋_GB2312" w:hAnsi="Times New Roman" w:eastAsia="仿宋_GB2312" w:cs="Times New Roman"/>
      <w:kern w:val="0"/>
      <w:sz w:val="32"/>
      <w:szCs w:val="20"/>
    </w:rPr>
  </w:style>
  <w:style w:type="character" w:customStyle="1" w:styleId="118">
    <w:name w:val="正文文本 字符1"/>
    <w:autoRedefine/>
    <w:qFormat/>
    <w:uiPriority w:val="0"/>
    <w:rPr>
      <w:rFonts w:ascii="Times New Roman" w:hAnsi="Times New Roman"/>
      <w:kern w:val="2"/>
      <w:sz w:val="21"/>
      <w:szCs w:val="24"/>
    </w:rPr>
  </w:style>
  <w:style w:type="paragraph" w:customStyle="1" w:styleId="119">
    <w:name w:val="TOC 标题1"/>
    <w:basedOn w:val="2"/>
    <w:next w:val="1"/>
    <w:autoRedefine/>
    <w:unhideWhenUsed/>
    <w:qFormat/>
    <w:uiPriority w:val="39"/>
    <w:pPr>
      <w:widowControl/>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120">
    <w:name w:val="NormalCharacter"/>
    <w:autoRedefine/>
    <w:qFormat/>
    <w:uiPriority w:val="0"/>
  </w:style>
  <w:style w:type="paragraph" w:customStyle="1" w:styleId="121">
    <w:name w:val="Index8"/>
    <w:basedOn w:val="1"/>
    <w:next w:val="1"/>
    <w:autoRedefine/>
    <w:qFormat/>
    <w:uiPriority w:val="99"/>
    <w:pPr>
      <w:ind w:left="1400" w:leftChars="1400"/>
    </w:pPr>
  </w:style>
  <w:style w:type="paragraph" w:customStyle="1" w:styleId="122">
    <w:name w:val="正文_0"/>
    <w:qFormat/>
    <w:uiPriority w:val="0"/>
    <w:pPr>
      <w:widowControl w:val="0"/>
      <w:spacing w:line="480" w:lineRule="exact"/>
      <w:ind w:firstLine="200" w:firstLineChars="200"/>
      <w:jc w:val="both"/>
    </w:pPr>
    <w:rPr>
      <w:rFonts w:ascii="Calibri" w:hAnsi="Calibri" w:eastAsia="微软雅黑" w:cs="Times New Roman"/>
      <w:kern w:val="2"/>
      <w:sz w:val="21"/>
      <w:szCs w:val="24"/>
      <w:lang w:val="en-US" w:eastAsia="zh-CN" w:bidi="ar-SA"/>
    </w:rPr>
  </w:style>
  <w:style w:type="paragraph" w:customStyle="1" w:styleId="123">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86</Pages>
  <Words>14084</Words>
  <Characters>15090</Characters>
  <Lines>461</Lines>
  <Paragraphs>129</Paragraphs>
  <TotalTime>4</TotalTime>
  <ScaleCrop>false</ScaleCrop>
  <LinksUpToDate>false</LinksUpToDate>
  <CharactersWithSpaces>15290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2024-11-28T08:24:00Z</dcterms:created>
  <dc:creator>李琪1</dc:creator>
  <cp:lastModifiedBy>Administrator</cp:lastModifiedBy>
  <dcterms:modified xsi:type="dcterms:W3CDTF">2024-12-05T15:06:36Z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9CB4C93765E44C08BC48DFCC5A7A1F92_13</vt:lpwstr>
  </property>
</Properties>
</file>